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:rsidTr="009E7B12">
        <w:tc>
          <w:tcPr>
            <w:tcW w:w="3823" w:type="dxa"/>
          </w:tcPr>
          <w:bookmarkStart w:id="0" w:name="_GoBack"/>
          <w:p w:rsidR="008D3C53" w:rsidRPr="006A1012" w:rsidRDefault="00237D40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101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"Письма%20Разьяснения%2015-16.04/сроки%20сдачи%20отчетности%20и%20перечисления%20налогов%2015.04%20pdf.pdf" </w:instrText>
            </w:r>
            <w:r w:rsidRPr="006A1012">
              <w:rPr>
                <w:rFonts w:ascii="Times New Roman" w:hAnsi="Times New Roman" w:cs="Times New Roman"/>
                <w:sz w:val="24"/>
                <w:szCs w:val="24"/>
              </w:rPr>
            </w:r>
            <w:r w:rsidRPr="006A10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3C53" w:rsidRPr="006A10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Информация ФНС России "Подробная таблица изменений сроков представления деклараций и уплаты налогов (взносов) в соответствии с Постановлением Правительства РФ N 409 от 02.04.2020"</w:t>
            </w:r>
            <w:r w:rsidRPr="006A10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8D3C53" w:rsidRPr="006A1012" w:rsidRDefault="008D3C53" w:rsidP="008D3C53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Подготовлена таблица, в которой указаны новые сроки представления деклараций и уплаты налогов (взносов)</w:t>
            </w:r>
          </w:p>
          <w:p w:rsidR="008D3C53" w:rsidRPr="006A1012" w:rsidRDefault="008D3C53" w:rsidP="008D3C53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В таблице приведены наименования налогов, отчетный период, установленные сроки представления единой упрощенной налоговой декларации, иных налоговых деклараций и уплаты соответствующих налогов, акцизов и страховых взносов, а также измененные сроки в соответствии с Постановлением Правительства РФ N 409 от 02.04.2020.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53" w:rsidRPr="006A1012" w:rsidTr="009E7B12">
        <w:tc>
          <w:tcPr>
            <w:tcW w:w="3823" w:type="dxa"/>
          </w:tcPr>
          <w:p w:rsidR="008D3C53" w:rsidRPr="006A1012" w:rsidRDefault="00237D40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3C53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Информация Ростуризма от 15.04.2020 "О порядке использования средств фондов персональной ответственности туроператоров для выплат туристам"</w:t>
              </w:r>
            </w:hyperlink>
          </w:p>
        </w:tc>
        <w:tc>
          <w:tcPr>
            <w:tcW w:w="10737" w:type="dxa"/>
          </w:tcPr>
          <w:p w:rsidR="008D3C53" w:rsidRPr="006A1012" w:rsidRDefault="008D3C53" w:rsidP="008D3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Даны ответы на вопросы, связанные с возвратом туристам денежных средств за туристские продукты в страны, в которых введены ограничения по причине эпидемиологической ситуации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Сообщается, что туроператорам, осуществляющим деятельность в сфере выездного туризма, предоставлена возможность использовать накопленные средства фонда персональной ответственности туроператора (ФПО) для возврата денежных средств туристам (период путешествия - с даты введения ограничений до 1 июня 2020 года).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Непосредственное решение об использовании средств ФПО принимает сам туроператор путем направления соответствующего уведомления в Ассоциацию "</w:t>
            </w:r>
            <w:proofErr w:type="spellStart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Турпомощь</w:t>
            </w:r>
            <w:proofErr w:type="spellEnd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 xml:space="preserve">". Туроператоры, которые не проинформировали об использовании ФПО, осуществляют возврат денежных средств </w:t>
            </w:r>
            <w:proofErr w:type="gramStart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из собственных средств в общем порядке</w:t>
            </w:r>
            <w:proofErr w:type="gramEnd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РФ.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Содержатся ответы на следующие вопросы, в том числе: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в каких случаях туроператоры могут воспользоваться средствами ФПО для выплат туристам;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в какой срок туроператору необходимо направить уведомление в Ассоциацию "</w:t>
            </w:r>
            <w:proofErr w:type="spellStart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Турпомощь</w:t>
            </w:r>
            <w:proofErr w:type="spellEnd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какие туроператоры могут обратиться в Ассоциацию "</w:t>
            </w:r>
            <w:proofErr w:type="spellStart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Турпомощь</w:t>
            </w:r>
            <w:proofErr w:type="spellEnd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" с заявлением о выплатах туристам денежных средств из ФПО туроператора;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каким образом туроператор, использовавший средства ФПО для выплаты туристам, должен будет пополнить ФПО в 2020 году, если туроператор уже уплатил взнос в ФПО по итогам 1-го квартала 2020 года.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1D" w:rsidRPr="006A1012" w:rsidTr="009E7B12">
        <w:tc>
          <w:tcPr>
            <w:tcW w:w="3823" w:type="dxa"/>
          </w:tcPr>
          <w:p w:rsidR="005C791D" w:rsidRPr="006A1012" w:rsidRDefault="00237D40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791D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Информация Минюста России от 15.04.2020 "Об оформлении наследственных прав в сложившихся условиях </w:t>
              </w:r>
              <w:r w:rsidR="005C791D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 xml:space="preserve">распространения новой </w:t>
              </w:r>
              <w:proofErr w:type="spellStart"/>
              <w:r w:rsidR="005C791D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коронавирусной</w:t>
              </w:r>
              <w:proofErr w:type="spellEnd"/>
              <w:r w:rsidR="005C791D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инфекции"</w:t>
              </w:r>
            </w:hyperlink>
          </w:p>
        </w:tc>
        <w:tc>
          <w:tcPr>
            <w:tcW w:w="10737" w:type="dxa"/>
          </w:tcPr>
          <w:p w:rsidR="005C791D" w:rsidRPr="006A1012" w:rsidRDefault="005C791D" w:rsidP="005C791D">
            <w:pPr>
              <w:pStyle w:val="7817309516d2607845d07201635d909erevann"/>
              <w:shd w:val="clear" w:color="auto" w:fill="FFFFFF"/>
              <w:rPr>
                <w:b/>
                <w:bCs/>
                <w:color w:val="000000"/>
              </w:rPr>
            </w:pPr>
            <w:r w:rsidRPr="006A1012">
              <w:rPr>
                <w:b/>
                <w:bCs/>
                <w:color w:val="000000"/>
              </w:rPr>
              <w:lastRenderedPageBreak/>
              <w:t>Разъяснены особенности оформления наследственных прав в период действия ограничительных мер</w:t>
            </w:r>
          </w:p>
          <w:p w:rsidR="005C791D" w:rsidRPr="006A1012" w:rsidRDefault="005C791D" w:rsidP="005C791D">
            <w:pPr>
              <w:pStyle w:val="a5"/>
              <w:shd w:val="clear" w:color="auto" w:fill="FFFFFF"/>
              <w:rPr>
                <w:color w:val="000000"/>
              </w:rPr>
            </w:pPr>
            <w:r w:rsidRPr="006A1012">
              <w:rPr>
                <w:color w:val="000000"/>
              </w:rPr>
              <w:lastRenderedPageBreak/>
              <w:t>Сообщается, в частности, что, в случае если наследственное дело уже ведется нотариусом, нотариальная контора которого закрыта на период действия ограничительных мер, заявитель вправе обратиться в дежурную нотариальную контору, информацию о которой возможно уточнить на сайте соответствующей нотариальной палаты субъекта РФ.</w:t>
            </w:r>
          </w:p>
          <w:p w:rsidR="005C791D" w:rsidRPr="006A1012" w:rsidRDefault="005C791D" w:rsidP="005C791D">
            <w:pPr>
              <w:pStyle w:val="a5"/>
              <w:shd w:val="clear" w:color="auto" w:fill="FFFFFF"/>
              <w:rPr>
                <w:color w:val="000000"/>
              </w:rPr>
            </w:pPr>
            <w:r w:rsidRPr="006A1012">
              <w:rPr>
                <w:color w:val="000000"/>
              </w:rPr>
              <w:t>Нотариус дежурной нотариальной конторы свидетельствует подлинность подписи заявителя на заявлении о принятии наследства и передает его нотариусу, который ведет наследственное дело, в том числе посредством сети "Интернет", при условии, что передаваемый документ подписан усиленной квалифицированной электронной подписью дежурного нотариуса.</w:t>
            </w:r>
          </w:p>
          <w:p w:rsidR="005C791D" w:rsidRPr="006A1012" w:rsidRDefault="005C791D" w:rsidP="005C791D">
            <w:pPr>
              <w:pStyle w:val="a5"/>
              <w:shd w:val="clear" w:color="auto" w:fill="FFFFFF"/>
              <w:rPr>
                <w:color w:val="000000"/>
              </w:rPr>
            </w:pPr>
            <w:r w:rsidRPr="006A1012">
              <w:rPr>
                <w:color w:val="000000"/>
              </w:rPr>
              <w:t>В случае невозможности личного обращения к нотариусу по месту открытия наследства, в том числе если нотариус осуществляет нотариальную деятельность в другом субъекте РФ, гражданин вправе подать заявление о принятии наследства через своего представителя или путем направления заявления по почте, а также передать заявление при помощи другого лица (например, иного наследника, курьера, нотариуса) как на бумажном носителе, так и в форме электронного документа, равнозначность которого документу на бумажном носителе удостоверена в порядке статьи 103.8 Основ законодательства РФ о нотариате.</w:t>
            </w:r>
          </w:p>
          <w:p w:rsidR="005C791D" w:rsidRPr="006A1012" w:rsidRDefault="005C791D" w:rsidP="005C791D">
            <w:pPr>
              <w:pStyle w:val="a5"/>
              <w:shd w:val="clear" w:color="auto" w:fill="FFFFFF"/>
              <w:rPr>
                <w:color w:val="000000"/>
              </w:rPr>
            </w:pPr>
            <w:r w:rsidRPr="006A1012">
              <w:rPr>
                <w:color w:val="000000"/>
              </w:rPr>
              <w:t>При отправлении заявления по почте оно считается поданным в срок, установленный для принятия наследства, если сдано оператору почтовой связи до истечения установленного срока, то есть датировано числом до последнего дня срока включительно.</w:t>
            </w:r>
          </w:p>
          <w:p w:rsidR="005C791D" w:rsidRPr="006A1012" w:rsidRDefault="005C791D" w:rsidP="005C791D">
            <w:pPr>
              <w:pStyle w:val="a5"/>
              <w:shd w:val="clear" w:color="auto" w:fill="FFFFFF"/>
              <w:rPr>
                <w:color w:val="000000"/>
              </w:rPr>
            </w:pPr>
            <w:r w:rsidRPr="006A1012">
              <w:rPr>
                <w:color w:val="000000"/>
              </w:rPr>
              <w:t>Принятие наследства через представителя возможно, если в доверенности специально предусмотрено полномочие на принятие наследства.</w:t>
            </w:r>
          </w:p>
          <w:p w:rsidR="005C791D" w:rsidRPr="006A1012" w:rsidRDefault="005C791D" w:rsidP="005C791D">
            <w:pPr>
              <w:pStyle w:val="a5"/>
              <w:shd w:val="clear" w:color="auto" w:fill="FFFFFF"/>
              <w:rPr>
                <w:color w:val="000000"/>
              </w:rPr>
            </w:pPr>
            <w:r w:rsidRPr="006A1012">
              <w:rPr>
                <w:color w:val="000000"/>
              </w:rPr>
              <w:t>Для открытия наследственного дела достаточно подать заявление о принятии наследства. Иные документы (свидетельство о смерти, документы, подтверждающие последнее место жительства наследодателя, документы, подтверждающие состав и принадлежность наследодателю наследственного имущества, документы, подтверждающие стоимость наследственного имущества и т.д.) могут быть представлены позднее, но до момента выдачи нотариусом свидетельства о праве на наследство.</w:t>
            </w:r>
          </w:p>
          <w:p w:rsidR="005C791D" w:rsidRPr="006A1012" w:rsidRDefault="005C791D" w:rsidP="008D3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C53" w:rsidRPr="006A1012" w:rsidTr="00237D40">
        <w:trPr>
          <w:trHeight w:val="1451"/>
        </w:trPr>
        <w:tc>
          <w:tcPr>
            <w:tcW w:w="3823" w:type="dxa"/>
          </w:tcPr>
          <w:p w:rsidR="008D3C53" w:rsidRPr="006A1012" w:rsidRDefault="00237D40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3C53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Информация&gt; ФНС России от 14.04.2020 "ФНС России запустила сервис по проверке возможности получения отсрочки в связи с </w:t>
              </w:r>
              <w:proofErr w:type="spellStart"/>
              <w:r w:rsidR="008D3C53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коронавирусом</w:t>
              </w:r>
              <w:proofErr w:type="spellEnd"/>
              <w:r w:rsidR="008D3C53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10737" w:type="dxa"/>
          </w:tcPr>
          <w:p w:rsidR="008D3C53" w:rsidRPr="006A1012" w:rsidRDefault="008D3C53" w:rsidP="008D3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 запустила сервис, с помощью которого налогоплательщики могут узнать о возможности воспользоваться отсрочкой (рассрочкой) по уплате налогов и страховых взносов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Для проверки достаточно ввести ИНН или ОГРН. При положительном ответе пользователю будут даны ссылки на заявление об отсрочке (рассрочке) и на обязательство соблюдения условий отсрочки.</w:t>
            </w:r>
          </w:p>
          <w:p w:rsidR="00237D40" w:rsidRPr="006A1012" w:rsidRDefault="008D3C53" w:rsidP="0023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Ознакомиться с полным перечнем мер поддержки бизнеса также можно на сайте ФНС России в специальном разделе "</w:t>
            </w:r>
            <w:proofErr w:type="spellStart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: меры поддержки бизнеса</w:t>
            </w:r>
            <w:proofErr w:type="gramStart"/>
            <w:r w:rsidRPr="006A101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hyperlink r:id="rId8" w:anchor="t=1586959787315&amp;query=594304356046" w:history="1">
              <w:r w:rsidR="00237D40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https://service.nalog.ru/covid2/#t=1586959787315&amp;query=594304356046</w:t>
              </w:r>
              <w:proofErr w:type="gramEnd"/>
            </w:hyperlink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40" w:rsidRPr="006A1012" w:rsidTr="009E7B12">
        <w:trPr>
          <w:trHeight w:val="6599"/>
        </w:trPr>
        <w:tc>
          <w:tcPr>
            <w:tcW w:w="3823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Информация ФСС РФ от 14.04.2020 "О сроках представления документов для подтверждения основного вида экономической деятельности в 2020 году"</w:t>
              </w:r>
            </w:hyperlink>
          </w:p>
          <w:p w:rsidR="00237D40" w:rsidRPr="006A1012" w:rsidRDefault="00237D40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Даны разъяснения по сроку представления документов для подтверждения основного вида экономической деятельности в условиях объявленных нерабочих дней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Указом Президента РФ от 02.04.2020 N 239 период с 4 по 30 апреля 2020 года объявлен нерабочим. Согласно пункту 4 Указа N 239 его действие не распространяется, в частности, на непрерывно действующие организации, медицинские и аптечные организации, организации, обеспечивающие население продуктами питания и товарами первой необходимости, и прочее. Согласно пункту 5 Указа N 239 он может распространяться на системообразующие, а также научные и образовательные организации по согласованию с Правительством РФ.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представления документов для подтверждения основного вида экономической деятельности (не позднее 15 апреля) установлен пунктом 3 Порядка подтверждения основного вида экономической деятельности, утвержденного Приказом </w:t>
            </w:r>
            <w:proofErr w:type="spellStart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31.01.2006 N 55 (далее - Порядок).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 изложенное, страхователи, на которых не распространяется Указ N 239, при подтверждении основного вида экономической деятельности в 2020 году должны руководствоваться сроком, установленным пунктом 3 Порядка.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страхователей срок представления документов для подтверждения основного вида экономической деятельности с учетом положений статьи 193 Гражданского кодекса РФ переносится на первый рабочий день после 30 апреля 2020 года - 6 мая 2020 года.</w:t>
            </w:r>
          </w:p>
          <w:p w:rsidR="00237D40" w:rsidRPr="006A1012" w:rsidRDefault="00237D40" w:rsidP="008D3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C53" w:rsidRPr="006A1012" w:rsidTr="009E7B12">
        <w:tc>
          <w:tcPr>
            <w:tcW w:w="3823" w:type="dxa"/>
          </w:tcPr>
          <w:p w:rsidR="008D3C53" w:rsidRPr="006A1012" w:rsidRDefault="00237D40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3C53" w:rsidRPr="006A1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ФНС России от 10.04.2020 N ЕА-4-15/6101@ "О налоговом контроле в нерабочие дни в соответствии с указами Президента РФ"</w:t>
              </w:r>
            </w:hyperlink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8D3C53" w:rsidRPr="006A1012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процессуальные сроки, установленные НК РФ, исчисляются без учета объявленных указами Президента РФ нерабочих дней</w:t>
            </w:r>
          </w:p>
          <w:p w:rsidR="008D3C53" w:rsidRPr="006A1012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Сообщается, что в целях обеспечения устойчивого развития экономики в условиях ухудшения эпидемиологической ситуации течение сроков, установленных пунктом 2 статьи 88 (сроки проведения камеральных проверок), статьями 176 и 176.1 (сроки проверки обоснованности заявленных к возмещению сумм НДС), 203.1 и пунктом 4 статьи 203 НК РФ (сроки проверки соблюдения требований для возмещения сумм акциза), производится без учета нерабочих дней, предусмотренных указами об объявлении нерабочими днями периода с 30.03.2020 по 30.04.2020.</w:t>
            </w:r>
          </w:p>
          <w:p w:rsidR="008D3C53" w:rsidRPr="006A1012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течение иных процедурных сроков, в том числе по вручению актов камеральных налоговых проверок, представлению возражений на акт налоговой проверки, рассмотрению дела о налоговом правонарушении и т.п., производится с учетом нерабочих дней и начинается с ближайшего первого рабочего дня.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53" w:rsidRPr="006A1012" w:rsidTr="009E7B12">
        <w:tc>
          <w:tcPr>
            <w:tcW w:w="3823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Информация </w:t>
              </w:r>
              <w:proofErr w:type="spellStart"/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Росстандарта</w:t>
              </w:r>
              <w:proofErr w:type="spellEnd"/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"Требования к лицевым маскам: обзор стандартов"</w:t>
              </w:r>
            </w:hyperlink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"Маска, я тебя знаю" - </w:t>
            </w:r>
            <w:proofErr w:type="spellStart"/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разъяснил, как лицевые маски отличаются друг от друга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Лицевые маски можно отнести к трем основным группам: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медицинские изделия;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индивидуальной защиты;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лицевые маски.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производства медицинских масок производителем могут быть использованы положения ГОСТ Р 58396-2019 "Маски медицинские. Требования и методы испытаний", в том числе для масок, предназначенных для ограничения передачи инфекционных агентов от медицинского персонала пациентам, например, во время проведения операций.  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 58396-2019 определяет конструкцию, дизайн, требования к функциональным характеристикам и методы испытаний медицинских масок. Такие маски предназначены для </w:t>
            </w: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ограничения передачи инфекционных агентов от медперсонала пациентам во время операций, а также эффективны для сокращения выхода инфекционных агентов при кашле или чихании носителя инфекции.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Помимо медицинских масок, существуют средства индивидуальной защиты органов дыхания фильтрующего типа, которые являются объектом технического регламента Таможенного союза "О безопасности средств индивидуальной зашиты". Требования к подобным средствам установлены в ГОСТах к перечням к </w:t>
            </w:r>
            <w:proofErr w:type="spellStart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техрегламенту</w:t>
            </w:r>
            <w:proofErr w:type="spellEnd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ГОСТ 12.4.293-2015 (EN 136: 1998) "Средства индивидуальной защиты органов дыхания. Маски. Общие технические условия" и ГОСТ 12.4.294-2015 (EN 149:2001+А1:2009) "Средства индивидуальной защиты органов дыхания. </w:t>
            </w:r>
            <w:proofErr w:type="gramStart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Полумаски</w:t>
            </w:r>
            <w:proofErr w:type="gramEnd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фильтрующие для защиты от аэрозолей".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лицевые маски относятся к санитарно-гигиеническим изделиям, единых требований к которым не установлено. Предприятие-изготовитель может разработать и утвердить собственные технические условия (ТУ) или обратиться к изготовителям из реестра ТУ для получения уже утвержденных требований. Формирование реестра ТУ осуществляется на основе информации, предоставленной предприятиями-изготовителями.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сообщается, что по поручению </w:t>
            </w:r>
            <w:proofErr w:type="spellStart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и </w:t>
            </w:r>
            <w:proofErr w:type="spellStart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разработаны и зарегистрированы в реестре технических условий ТУ 13.92.29-005-00302178-2020 "Маска лицевая гигиеническая". Данные технические условия для маски лицевой гигиенической зарегистрированы 13 апреля 2020 года и могут применяться для производства масок всеми желающими изготовителями.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53" w:rsidRPr="006A1012" w:rsidTr="009E7B12">
        <w:tc>
          <w:tcPr>
            <w:tcW w:w="3823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Информация </w:t>
              </w:r>
              <w:proofErr w:type="spellStart"/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Росреестра</w:t>
              </w:r>
              <w:proofErr w:type="spellEnd"/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16.04.2020 "</w:t>
              </w:r>
              <w:proofErr w:type="spellStart"/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Росреестр</w:t>
              </w:r>
              <w:proofErr w:type="spellEnd"/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прекратил проверки юридических лиц и индивидуальных предпринимателей до конца 2020 года"</w:t>
              </w:r>
            </w:hyperlink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отменил проведение запланированных на 2020 год проверок юридических лиц и индивидуальных предпринимателей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того, сокращены основания для проведения внеплановых проверок. В частности, внеплановые проверки могут быть проведены на основании поручений Президента РФ, Правительства РФ или требования прокурора о проведении проверки. Также мероприятия будут проводиться в случае угрозы причинения или выявления фактов причинения вреда жизни и здоровью граждан, </w:t>
            </w: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возникновения чрезвычайных ситуаций или если речь идет о проверках, целью которых является выдача лицензий и специальных разрешений.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53" w:rsidRPr="006A1012" w:rsidTr="009E7B12">
        <w:tc>
          <w:tcPr>
            <w:tcW w:w="3823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Ответственность за нарушение нормативных актов и предписаний в связи с </w:t>
              </w:r>
              <w:proofErr w:type="spellStart"/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коронавирусом</w:t>
              </w:r>
              <w:proofErr w:type="spellEnd"/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(COVID-19)</w:t>
              </w:r>
            </w:hyperlink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об </w:t>
            </w:r>
            <w:hyperlink r:id="rId14" w:tgtFrame="_blank" w:history="1">
              <w:r w:rsidRPr="006A10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административной ответственности </w:t>
              </w:r>
              <w:r w:rsidRPr="006A10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за нарушение нормативных актов и предписаний в связи с </w:t>
              </w:r>
              <w:proofErr w:type="spellStart"/>
              <w:r w:rsidRPr="006A10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коронавирусом</w:t>
              </w:r>
              <w:proofErr w:type="spellEnd"/>
              <w:r w:rsidRPr="006A10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(COVID-19)</w:t>
              </w:r>
            </w:hyperlink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одной таблице 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53" w:rsidRPr="006A1012" w:rsidTr="009E7B12">
        <w:tc>
          <w:tcPr>
            <w:tcW w:w="3823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 ФНС России от 10.04.2020 N БС-4-11/6105@ "О налогообложении доходов физических лиц" (вместе с &lt;Письмом&gt; Минфина России от 07.04.2020 N 03-04-07/27483)</w:t>
              </w:r>
            </w:hyperlink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 отношении которых физлицо уплачивает НПД, не подлежат отражению в налоговой декларации по НДФЛ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части 8 статьи 2 Федерального закона от 27.11.2018 N 422-ФЗ "О проведении эксперимента по установлению специального налогового режима "Налог на профессиональный доход" физические лица, применяющие данный налоговый режим (НПД), освобождаются от налогообложения НДФЛ в отношении доходов, являющихся объектом налогообложения НПД. Поэтому такие доходы не подлежат отражению в налоговой декларации по НДФЛ.</w:t>
            </w:r>
          </w:p>
          <w:p w:rsidR="008D3C53" w:rsidRPr="006A1012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40" w:rsidRPr="006A1012" w:rsidTr="009E7B12">
        <w:tc>
          <w:tcPr>
            <w:tcW w:w="3823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6A10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 ФНС России от 14.04.2020 N БС-4-21/6203@ "О разъяснениях по вопросам поддержки организаций и индивидуальных предпринимателей, касающихся налогообложения имущества"</w:t>
              </w:r>
            </w:hyperlink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37" w:type="dxa"/>
          </w:tcPr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ФНС России ответила на вопросы, касающиеся предпринятых мер поддержки в отношении уплаты транспортного, земельного налогов и налога на имущество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 приведена, в частности, следующая информация.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Правительством РФ приняты постановления: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02.04.2020 N 409 "О мерах по обеспечению устойчивого развития экономики", предусматривающее продление сроков представления деклараций и уплаты ряда налогов и страховых взносов;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03.04.2020 N 439 "Об установлении требований к условиям и срокам отсрочки уплаты арендной платы по договорам аренды недвижимого имущества", содержащее в том числе рекомендации по установлению налоговых льгот по имущественным налогам;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03.04.2020 N 434, устанавливающее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 РФ предоставлено право издавать акты, предусматривающие в период до конца 2020 г. продление сроков уплаты имущественных налогов (авансовых платежей по ним), в случае если Правительством РФ указанные сроки не продлены или предусмотрены более ранние сроки их уплаты.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 по транспортному налогу, налогу на имущество организаций и земельному налогу могут быть использованы на основании следующих документов: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налогу на имущество организаций: документы, представляемые в налоговый орган вместе с налоговой декларацией за налоговый период 2020 года, позволяющие подтвердить право организации на применение налоговой льготы с учетом установленных условий ее действия;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транспортному и земельному налогам: заявление о предоставлении налоговой льготы, представленное в налоговый орган в соответствии с законодательством о налогах и сборах и приказами ФНС России от 14.11.2017 N ММВ-7-21/897@ или от 25.07.2019 N ММВ-7-21/377@.</w:t>
            </w:r>
          </w:p>
          <w:p w:rsidR="00237D40" w:rsidRPr="006A1012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9E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5"/>
    <w:rsid w:val="00065F68"/>
    <w:rsid w:val="00237D40"/>
    <w:rsid w:val="00392369"/>
    <w:rsid w:val="00410332"/>
    <w:rsid w:val="00575C25"/>
    <w:rsid w:val="005C791D"/>
    <w:rsid w:val="006A1012"/>
    <w:rsid w:val="008D3C53"/>
    <w:rsid w:val="009E7B12"/>
    <w:rsid w:val="00C11CFE"/>
    <w:rsid w:val="00C26BF1"/>
    <w:rsid w:val="00E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6223-53F3-48E1-BD5F-48585F6F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vid2/" TargetMode="External"/><Relationship Id="rId13" Type="http://schemas.openxmlformats.org/officeDocument/2006/relationships/hyperlink" Target="&#1055;&#1080;&#1089;&#1100;&#1084;&#1072;%20&#1056;&#1072;&#1079;&#1100;&#1103;&#1089;&#1085;&#1077;&#1085;&#1080;&#1103;%2015-16.04/&#1040;&#1076;&#1084;&#1080;&#1085;&#1080;&#1089;&#1090;&#1088;&#1072;&#1090;&#1080;&#1074;&#1085;&#1072;&#1103;%20&#1086;&#1090;&#1074;&#1077;&#1090;&#1089;&#1090;&#1074;&#1077;&#1085;&#1085;&#1086;&#1089;&#1090;&#1100;%20%20&#1079;&#1072;%20&#1085;&#1072;&#1088;&#1091;&#1096;&#1077;&#1085;&#1080;&#1077;%20&#1074;%20&#1089;&#1074;&#1103;&#1079;&#1080;%20&#1089;%20&#1087;&#1072;&#1085;&#1076;&#1077;&#1084;&#1080;&#1077;&#1081;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0;&#1089;&#1100;&#1084;&#1072;%20&#1056;&#1072;&#1079;&#1100;&#1103;&#1089;&#1085;&#1077;&#1085;&#1080;&#1103;%2015-16.04/&#1048;&#1085;&#1092;&#1086;&#1088;&#1084;&#1072;&#1094;&#1080;&#1103;%20%20&#1060;&#1053;&#1057;%20&#1056;&#1086;&#1089;&#1089;&#1080;&#1080;%20&#1086;&#1090;%2014.04.2020%20%20&#1089;&#1077;&#1088;&#1074;&#1080;&#1089;%20&#1087;&#1088;&#1086;&#1074;&#1077;&#1088;&#1082;&#1080;%20&#1083;&#1100;&#1075;&#1086;&#1090;%20.rtf" TargetMode="External"/><Relationship Id="rId12" Type="http://schemas.openxmlformats.org/officeDocument/2006/relationships/hyperlink" Target="&#1055;&#1080;&#1089;&#1100;&#1084;&#1072;%20&#1056;&#1072;&#1079;&#1100;&#1103;&#1089;&#1085;&#1077;&#1085;&#1080;&#1103;%2015-16.04/&#1056;&#1086;&#1089;&#1088;&#1077;&#1077;&#1089;&#1090;&#1088;%20&#1087;&#1088;&#1077;&#1082;&#1088;&#1072;&#1090;&#1080;&#1083;%20&#1087;&#1088;&#1086;&#1074;&#1077;&#1088;&#1082;&#1080;%20&#1102;&#1088;&#1080;&#1076;&#1080;&#1095;&#1077;&#1089;&#1082;&#1080;&#1093;%20&#1083;&#1080;&#1094;%20&#1080;%20&#1080;&#1085;&#1076;&#1080;&#1074;&#1080;&#1076;&#1091;&#1072;&#1083;&#1100;&#1085;&#1099;&#1093;%20&#1087;&#1088;&#1077;&#1076;&#1087;&#1088;&#1080;&#1085;&#1080;&#1084;&#1072;&#1090;&#1077;&#1083;&#1077;&#1081;%20&#1076;&#1086;%20&#1082;&#1086;&#1085;&#1094;&#1072;%202020%20&#1075;&#1086;&#1076;&#1072;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55;&#1080;&#1089;&#1100;&#1084;&#1072;%20&#1056;&#1072;&#1079;&#1100;&#1103;&#1089;&#1085;&#1077;&#1085;&#1080;&#1103;%2015-16.04/&#1055;&#1080;&#1089;&#1100;&#1084;&#1086;%20&#1060;&#1053;&#1057;%20&#1056;&#1086;&#1089;&#1089;&#1080;&#1080;%20&#1086;&#1090;%2014.04.2020%20N%20&#1041;&#1057;-4-21_6203@%20%20&#1054;%20&#1088;&#1072;&#1079;&#1098;&#1103;&#1089;&#1085;&#1077;&#1085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0;&#1089;&#1100;&#1084;&#1072;%20&#1056;&#1072;&#1079;&#1100;&#1103;&#1089;&#1085;&#1077;&#1085;&#1080;&#1103;%2015-16.04/&#1054;&#1073;%20&#1086;&#1092;&#1086;&#1088;&#1084;&#1083;&#1077;&#1085;&#1080;&#1080;%20&#1085;&#1072;&#1089;&#1083;&#1077;&#1076;&#1089;&#1090;&#1074;&#1077;&#1085;&#1085;&#1099;&#1093;%20&#1087;&#1088;&#1072;&#1074;%20&#1074;%20&#1089;&#1083;&#1086;&#1078;&#1080;&#1074;&#1096;&#1080;&#1093;&#1089;&#1103;%20&#1091;&#1089;&#1083;&#1086;&#1074;&#1080;&#1103;&#1093;%20&#1088;&#1072;&#1089;&#1087;&#1088;&#1086;&#1089;&#1090;&#1088;&#1072;&#1085;&#1077;&#1085;&#1080;&#1103;%20&#1085;&#1086;&#1074;&#1086;&#1081;%20&#1082;&#1086;&#1088;&#1086;&#1085;&#1072;&#1074;&#1080;&#1088;&#1091;&#1089;&#1085;&#1086;&#1081;%20&#1080;&#1085;&#1092;&#1077;&#1082;&#1094;&#1080;&#1080;.rtf" TargetMode="External"/><Relationship Id="rId11" Type="http://schemas.openxmlformats.org/officeDocument/2006/relationships/hyperlink" Target="&#1055;&#1080;&#1089;&#1100;&#1084;&#1072;%20&#1056;&#1072;&#1079;&#1100;&#1103;&#1089;&#1085;&#1077;&#1085;&#1080;&#1103;%2015-16.04/&#1048;&#1085;&#1092;&#1086;&#1088;&#1084;&#1072;&#1094;&#1080;&#1103;%20&#1056;&#1086;&#1089;&#1089;&#1090;&#1072;&#1085;&#1076;&#1072;&#1088;&#1090;&#1072;%20&#1058;&#1088;&#1077;&#1073;&#1086;&#1074;&#1072;&#1085;&#1080;&#1103;%20&#1082;%20&#1083;&#1080;&#1094;&#1077;&#1074;&#1099;&#1084;%20&#1084;&#1072;&#1089;&#1082;&#1072;&#1084;%20&#1086;&#1073;&#1079;&#1086;&#1088;%20&#1089;&#1090;&#1072;&#1085;&#1076;&#1072;&#1088;&#1090;&#1086;&#1074;.rtf" TargetMode="External"/><Relationship Id="rId5" Type="http://schemas.openxmlformats.org/officeDocument/2006/relationships/hyperlink" Target="&#1055;&#1080;&#1089;&#1100;&#1084;&#1072;%20&#1056;&#1072;&#1079;&#1100;&#1103;&#1089;&#1085;&#1077;&#1085;&#1080;&#1103;%2015-16.04/&#1054;%20&#1087;&#1086;&#1088;&#1103;&#1076;&#1082;&#1077;%20&#1080;&#1089;&#1087;&#1086;&#1083;&#1100;&#1079;&#1086;&#1074;&#1072;&#1085;&#1080;&#1103;%20&#1089;&#1088;&#1077;&#1076;&#1089;&#1090;&#1074;%20&#1092;&#1086;&#1085;&#1076;&#1086;&#1074;%20&#1087;&#1077;&#1088;&#1089;&#1086;&#1085;&#1072;&#1083;&#1100;&#1085;&#1086;&#1081;%20&#1086;&#1090;&#1074;&#1077;&#1090;&#1089;&#1090;&#1074;&#1077;&#1085;&#1085;&#1086;&#1089;&#1090;&#1080;%20&#1090;&#1091;&#1088;&#1086;&#1087;&#1077;&#1088;&#1072;&#1090;&#1086;&#1088;&#1086;&#1074;%20&#1076;&#1083;&#1103;%20&#1074;&#1099;&#1087;&#1083;&#1072;&#1090;%20&#1090;&#1091;&#1088;&#1080;&#1089;&#1090;&#1072;&#1084;.rtf" TargetMode="External"/><Relationship Id="rId15" Type="http://schemas.openxmlformats.org/officeDocument/2006/relationships/hyperlink" Target="&#1055;&#1080;&#1089;&#1100;&#1084;&#1072;%20&#1056;&#1072;&#1079;&#1100;&#1103;&#1089;&#1085;&#1077;&#1085;&#1080;&#1103;%2015-16.04/_&#1055;&#1080;&#1089;&#1100;&#1084;&#1086;_%20&#1060;&#1053;&#1057;%20&#1056;&#1086;&#1089;&#1089;&#1080;&#1080;%20&#1086;&#1090;%2010.04.2020%20N%20&#1041;&#1057;-4-11_6105@%20%20&#1054;%20&#1085;&#1072;&#1083;&#1086;&#1075;&#1086;&#1086;.rtf" TargetMode="External"/><Relationship Id="rId10" Type="http://schemas.openxmlformats.org/officeDocument/2006/relationships/hyperlink" Target="&#1055;&#1080;&#1089;&#1100;&#1084;&#1072;%20&#1056;&#1072;&#1079;&#1100;&#1103;&#1089;&#1085;&#1077;&#1085;&#1080;&#1103;%2015-16.04/&#1054;%20&#1085;&#1072;&#1083;&#1086;&#1075;&#1086;&#1074;&#1086;&#1084;%20&#1082;&#1086;&#1085;&#1090;&#1088;&#1086;&#1083;&#1077;%20&#1074;%20&#1085;&#1077;&#1088;&#1072;&#1073;&#1086;&#1095;&#1080;&#1077;%20&#1076;&#1085;&#1080;%20&#1074;%20&#1089;&#1086;&#1086;&#1090;&#1074;&#1077;&#1090;&#1089;&#1090;&#1074;&#1080;&#1080;%20&#1089;%20&#1091;&#1082;&#1072;&#1079;&#1072;&#1084;&#1080;%20&#1055;&#1088;&#1077;&#1079;&#1080;&#1076;&#1077;&#1085;&#1090;&#1072;%20&#1056;&#106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0;&#1089;&#1100;&#1084;&#1072;%20&#1056;&#1072;&#1079;&#1100;&#1103;&#1089;&#1085;&#1077;&#1085;&#1080;&#1103;%2015-16.04/&#1054;%20&#1089;&#1088;&#1086;&#1082;&#1072;&#1093;%20&#1087;&#1088;&#1077;&#1076;&#1089;&#1090;&#1072;&#1074;&#1083;&#1077;&#1085;&#1080;&#1103;%20&#1076;&#1086;&#1082;&#1091;&#1084;&#1077;&#1085;&#1090;&#1086;&#1074;%20&#1076;&#1083;&#1103;%20&#1087;&#1086;&#1076;&#1090;&#1074;&#1077;&#1088;&#1078;&#1076;&#1077;&#1085;&#1080;&#1103;%20&#1086;&#1089;&#1085;&#1086;&#1074;&#1085;&#1086;&#1075;&#1086;%20&#1074;&#1080;&#1076;&#1072;%20&#1101;&#1082;&#1086;&#1085;&#1086;&#1084;&#1080;&#1095;&#1077;&#1089;&#1082;&#1086;&#1081;%20&#1076;&#1077;&#1103;&#1090;&#1077;&#1083;&#1100;&#1085;&#1086;&#1089;&#1090;&#1080;%20&#1074;%202020%20&#1075;&#1086;&#1076;&#1091;.rtf" TargetMode="External"/><Relationship Id="rId14" Type="http://schemas.openxmlformats.org/officeDocument/2006/relationships/hyperlink" Target="http://www.consultant.ru/cabinet/stat/hotdocs/2020-04-16/click/consultant/?dst=http%3A%2F%2Fwww.consultant.ru%2Flaw%2Fhotdocs%2Flink%2F%3Fid%3D61694%23utm_campaign%3Dhotdoc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Гимранова О.И.</cp:lastModifiedBy>
  <cp:revision>5</cp:revision>
  <dcterms:created xsi:type="dcterms:W3CDTF">2020-04-16T05:59:00Z</dcterms:created>
  <dcterms:modified xsi:type="dcterms:W3CDTF">2020-04-16T20:29:00Z</dcterms:modified>
</cp:coreProperties>
</file>