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2A76" w14:textId="77777777" w:rsidR="009567FD" w:rsidRPr="00BB06C4" w:rsidRDefault="009567FD" w:rsidP="009567FD">
      <w:pPr>
        <w:ind w:left="4962"/>
        <w:rPr>
          <w:b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t xml:space="preserve">Приложение 2 </w:t>
      </w:r>
    </w:p>
    <w:p w14:paraId="0AEAD935" w14:textId="1C97D572" w:rsidR="009567FD" w:rsidRPr="00BB06C4" w:rsidRDefault="009567FD" w:rsidP="009567FD">
      <w:pPr>
        <w:ind w:left="4962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t xml:space="preserve">к Политике предоставления гарантий и поручительств </w:t>
      </w:r>
      <w:r w:rsidR="00E12B21" w:rsidRPr="00BB06C4">
        <w:rPr>
          <w:color w:val="auto"/>
          <w:sz w:val="24"/>
          <w:szCs w:val="24"/>
        </w:rPr>
        <w:t>акционерного общества</w:t>
      </w:r>
      <w:r w:rsidRPr="00BB06C4">
        <w:rPr>
          <w:color w:val="auto"/>
          <w:sz w:val="24"/>
          <w:szCs w:val="24"/>
        </w:rPr>
        <w:t xml:space="preserve"> «Корпорация развития </w:t>
      </w:r>
      <w:r w:rsidR="00E12B21" w:rsidRPr="00BB06C4">
        <w:rPr>
          <w:color w:val="auto"/>
          <w:sz w:val="24"/>
          <w:szCs w:val="24"/>
        </w:rPr>
        <w:t>малого и среднего предпринимательства Пермского края</w:t>
      </w:r>
      <w:r w:rsidRPr="00BB06C4">
        <w:rPr>
          <w:color w:val="auto"/>
          <w:sz w:val="24"/>
          <w:szCs w:val="24"/>
        </w:rPr>
        <w:t xml:space="preserve">», </w:t>
      </w:r>
    </w:p>
    <w:p w14:paraId="22420FC4" w14:textId="459B6FCE" w:rsidR="00FC2FAC" w:rsidRPr="00BB06C4" w:rsidRDefault="005F1045" w:rsidP="009567FD">
      <w:pPr>
        <w:ind w:left="4962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t>утвержденной Протоколом</w:t>
      </w:r>
      <w:r w:rsidR="009567FD" w:rsidRPr="00BB06C4">
        <w:rPr>
          <w:color w:val="auto"/>
          <w:sz w:val="24"/>
          <w:szCs w:val="24"/>
        </w:rPr>
        <w:t xml:space="preserve"> заседания Совета директоров АО «Корпорация развития МСП ПК» от </w:t>
      </w:r>
      <w:r w:rsidR="004817BB" w:rsidRPr="00BB06C4">
        <w:rPr>
          <w:color w:val="auto"/>
          <w:sz w:val="24"/>
          <w:szCs w:val="24"/>
        </w:rPr>
        <w:t>19.10</w:t>
      </w:r>
      <w:r w:rsidR="009567FD" w:rsidRPr="00BB06C4">
        <w:rPr>
          <w:color w:val="auto"/>
          <w:sz w:val="24"/>
          <w:szCs w:val="24"/>
        </w:rPr>
        <w:t xml:space="preserve">.2020 г. № </w:t>
      </w:r>
      <w:r w:rsidR="00E12B21" w:rsidRPr="00BB06C4">
        <w:rPr>
          <w:color w:val="auto"/>
          <w:sz w:val="24"/>
          <w:szCs w:val="24"/>
        </w:rPr>
        <w:t>13</w:t>
      </w:r>
      <w:r w:rsidR="000E686A" w:rsidRPr="00BB06C4">
        <w:rPr>
          <w:color w:val="auto"/>
          <w:sz w:val="24"/>
          <w:szCs w:val="24"/>
        </w:rPr>
        <w:t>9</w:t>
      </w:r>
    </w:p>
    <w:p w14:paraId="152E88D3" w14:textId="23B4334E" w:rsidR="00FC2FAC" w:rsidRPr="00BB06C4" w:rsidRDefault="00FC2FAC" w:rsidP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Заявка на получение </w:t>
      </w:r>
      <w:r w:rsidR="002060CA" w:rsidRPr="00BB06C4">
        <w:rPr>
          <w:b/>
          <w:bCs/>
          <w:color w:val="auto"/>
          <w:sz w:val="20"/>
          <w:szCs w:val="20"/>
        </w:rPr>
        <w:t>поручительства</w:t>
      </w:r>
    </w:p>
    <w:p w14:paraId="3543BF73" w14:textId="7824F423" w:rsidR="00FC2FAC" w:rsidRPr="00BB06C4" w:rsidRDefault="00FC2FAC" w:rsidP="003862A2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акционерного общества «</w:t>
      </w:r>
      <w:r w:rsidR="002060CA" w:rsidRPr="00BB06C4">
        <w:rPr>
          <w:b/>
          <w:bCs/>
          <w:color w:val="auto"/>
          <w:sz w:val="20"/>
          <w:szCs w:val="20"/>
        </w:rPr>
        <w:t>К</w:t>
      </w:r>
      <w:r w:rsidR="00E02EBC" w:rsidRPr="00BB06C4">
        <w:rPr>
          <w:b/>
          <w:bCs/>
          <w:color w:val="auto"/>
          <w:sz w:val="20"/>
          <w:szCs w:val="20"/>
        </w:rPr>
        <w:t>орпорация развити</w:t>
      </w:r>
      <w:r w:rsidR="002060CA" w:rsidRPr="00BB06C4">
        <w:rPr>
          <w:b/>
          <w:bCs/>
          <w:color w:val="auto"/>
          <w:sz w:val="20"/>
          <w:szCs w:val="20"/>
        </w:rPr>
        <w:t>я</w:t>
      </w:r>
      <w:r w:rsidR="00E02EBC" w:rsidRPr="00BB06C4">
        <w:rPr>
          <w:b/>
          <w:bCs/>
          <w:color w:val="auto"/>
          <w:sz w:val="20"/>
          <w:szCs w:val="20"/>
        </w:rPr>
        <w:t xml:space="preserve"> малого и среднего предпринимательства</w:t>
      </w:r>
      <w:r w:rsidR="002060CA" w:rsidRPr="00BB06C4">
        <w:rPr>
          <w:b/>
          <w:bCs/>
          <w:color w:val="auto"/>
          <w:sz w:val="20"/>
          <w:szCs w:val="20"/>
        </w:rPr>
        <w:t xml:space="preserve"> Пермского края</w:t>
      </w:r>
      <w:r w:rsidRPr="00BB06C4">
        <w:rPr>
          <w:b/>
          <w:bCs/>
          <w:color w:val="auto"/>
          <w:sz w:val="20"/>
          <w:szCs w:val="20"/>
        </w:rPr>
        <w:t xml:space="preserve">» (далее – </w:t>
      </w:r>
      <w:r w:rsidR="002060CA" w:rsidRPr="00BB06C4">
        <w:rPr>
          <w:b/>
          <w:bCs/>
          <w:color w:val="auto"/>
          <w:sz w:val="20"/>
          <w:szCs w:val="20"/>
        </w:rPr>
        <w:t>АО «Корпорация развития МСП ПК»</w:t>
      </w:r>
      <w:r w:rsidRPr="00BB06C4">
        <w:rPr>
          <w:b/>
          <w:bCs/>
          <w:color w:val="auto"/>
          <w:sz w:val="20"/>
          <w:szCs w:val="20"/>
        </w:rPr>
        <w:t>)</w:t>
      </w:r>
    </w:p>
    <w:p w14:paraId="03146C7B" w14:textId="77777777" w:rsidR="00FC2FAC" w:rsidRPr="00BB06C4" w:rsidRDefault="00FC2FAC" w:rsidP="003862A2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«_____»_______________20___г.</w:t>
      </w:r>
      <w:r w:rsidRPr="00BB06C4">
        <w:rPr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3C20FC86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 w:rsidRPr="00BB06C4">
        <w:rPr>
          <w:color w:val="auto"/>
          <w:sz w:val="20"/>
          <w:szCs w:val="20"/>
        </w:rPr>
        <w:t xml:space="preserve">получение </w:t>
      </w:r>
      <w:r w:rsidR="002060CA" w:rsidRPr="00BB06C4">
        <w:rPr>
          <w:color w:val="auto"/>
          <w:sz w:val="20"/>
          <w:szCs w:val="20"/>
        </w:rPr>
        <w:t>поручительства</w:t>
      </w:r>
      <w:r w:rsidRPr="00BB06C4">
        <w:rPr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BB06C4" w14:paraId="47024CD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45B45693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2060CA" w:rsidRPr="00BB06C4">
              <w:rPr>
                <w:b/>
                <w:bCs/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BB06C4" w14:paraId="24799068" w14:textId="77777777" w:rsidTr="008F796C">
        <w:trPr>
          <w:trHeight w:val="1172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5D8F7603" w:rsidR="00FC2FAC" w:rsidRPr="00BB06C4" w:rsidRDefault="00FC2FAC" w:rsidP="00580745">
            <w:pPr>
              <w:spacing w:before="100" w:beforeAutospacing="1" w:after="100" w:afterAutospacing="1"/>
              <w:rPr>
                <w:i/>
                <w:iCs/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Вид </w:t>
            </w:r>
            <w:r w:rsidR="002060CA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5E16B6" w:rsidRPr="00BB06C4">
              <w:rPr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35BFC218" w:rsidR="00E8333A" w:rsidRPr="00BB06C4" w:rsidRDefault="008F796C" w:rsidP="00162220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Стандарт</w:t>
            </w:r>
          </w:p>
          <w:p w14:paraId="1885D362" w14:textId="7626C8A6" w:rsidR="008F796C" w:rsidRPr="00BB06C4" w:rsidRDefault="008F796C" w:rsidP="00162220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Развитие</w:t>
            </w:r>
          </w:p>
          <w:p w14:paraId="3965C98B" w14:textId="7D81F2F9" w:rsidR="004631C1" w:rsidRPr="00BB06C4" w:rsidRDefault="008F796C" w:rsidP="008F796C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Госзаказ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2EA06A0A" w:rsidR="00FC2FAC" w:rsidRPr="00BB06C4" w:rsidRDefault="00E8333A" w:rsidP="00162220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Наименование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поручительства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Программами предоставления поручительства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(приложение №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1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к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Политике предоставления гарантий и поручительств АО «Корпорация развития МСП ПК»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BB06C4" w14:paraId="72D3664B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8FF66E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</w:t>
            </w:r>
            <w:r w:rsidR="00E02EBC" w:rsidRPr="00BB06C4">
              <w:rPr>
                <w:color w:val="auto"/>
                <w:sz w:val="20"/>
                <w:szCs w:val="20"/>
              </w:rPr>
              <w:t xml:space="preserve">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25C6DFC3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2BE5CC6F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29E0935F" w:rsidR="00FC2FAC" w:rsidRPr="00BB06C4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дней</w:t>
            </w:r>
          </w:p>
        </w:tc>
      </w:tr>
      <w:tr w:rsidR="008E314C" w:rsidRPr="00BB06C4" w14:paraId="09CE90AF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BB06C4" w:rsidRDefault="008E314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2A0E73C7" w:rsidR="008E314C" w:rsidRPr="00BB06C4" w:rsidRDefault="004A03B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Желаемая периодичность уплаты вознаграждения</w:t>
            </w:r>
            <w:r w:rsidR="00F924A9" w:rsidRPr="00BB06C4">
              <w:rPr>
                <w:color w:val="auto"/>
                <w:sz w:val="20"/>
                <w:szCs w:val="20"/>
              </w:rPr>
              <w:t xml:space="preserve"> по поручительству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20010925" w:rsidR="008E314C" w:rsidRPr="00BB06C4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Единовременно / </w:t>
            </w:r>
            <w:r w:rsidR="00F924A9" w:rsidRPr="00BB06C4">
              <w:rPr>
                <w:i/>
                <w:iCs/>
                <w:color w:val="auto"/>
                <w:sz w:val="18"/>
                <w:szCs w:val="18"/>
              </w:rPr>
              <w:t>рассрочка</w:t>
            </w:r>
          </w:p>
        </w:tc>
      </w:tr>
      <w:tr w:rsidR="00676B6B" w:rsidRPr="00BB06C4" w14:paraId="25A348BA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5B3F5B71" w:rsidR="00FC2FAC" w:rsidRPr="00BB06C4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 кредита</w:t>
            </w:r>
            <w:r w:rsidR="0038536E" w:rsidRPr="00BB06C4">
              <w:rPr>
                <w:color w:val="auto"/>
                <w:sz w:val="20"/>
                <w:szCs w:val="20"/>
              </w:rPr>
              <w:t>/</w:t>
            </w:r>
            <w:proofErr w:type="spellStart"/>
            <w:r w:rsidR="0038536E" w:rsidRPr="00BB06C4">
              <w:rPr>
                <w:color w:val="auto"/>
                <w:sz w:val="20"/>
                <w:szCs w:val="20"/>
                <w:lang w:val="en-US"/>
              </w:rPr>
              <w:t>объем</w:t>
            </w:r>
            <w:proofErr w:type="spellEnd"/>
            <w:r w:rsidR="0038536E" w:rsidRPr="00BB06C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536E" w:rsidRPr="00BB06C4">
              <w:rPr>
                <w:color w:val="auto"/>
                <w:sz w:val="20"/>
                <w:szCs w:val="20"/>
                <w:lang w:val="en-US"/>
              </w:rPr>
              <w:t>обязательств</w:t>
            </w:r>
            <w:proofErr w:type="spellEnd"/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79CA0557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BB06C4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A2711D" w:rsidRPr="00BB06C4" w14:paraId="1E713210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BB06C4" w:rsidRDefault="00A2711D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28F8F508" w:rsidR="00A2711D" w:rsidRPr="00BB06C4" w:rsidRDefault="00A2711D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Планируемая дата заключения кредитной документации с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поручительством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r w:rsidR="00444863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4EADBCA5" w:rsidR="00A2711D" w:rsidRPr="00BB06C4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444863" w:rsidRPr="00BB06C4">
              <w:rPr>
                <w:i/>
                <w:iCs/>
                <w:color w:val="auto"/>
                <w:sz w:val="18"/>
                <w:szCs w:val="18"/>
              </w:rPr>
              <w:t>АО «Корпорация развития МСП ПК»</w:t>
            </w:r>
            <w:r w:rsidR="00E02EBC" w:rsidRPr="00BB06C4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BB06C4" w14:paraId="674F4094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BB06C4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BB06C4" w:rsidRDefault="00D873F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rFonts w:eastAsia="Calibri"/>
                <w:sz w:val="20"/>
                <w:szCs w:val="20"/>
              </w:rPr>
              <w:t>Структура предоставляемого обеспечения (залог</w:t>
            </w:r>
            <w:r w:rsidR="008C2284" w:rsidRPr="00BB06C4">
              <w:rPr>
                <w:rFonts w:eastAsia="Calibri"/>
                <w:sz w:val="20"/>
                <w:szCs w:val="20"/>
              </w:rPr>
              <w:t>,</w:t>
            </w:r>
            <w:r w:rsidRPr="00BB06C4">
              <w:rPr>
                <w:rFonts w:eastAsia="Calibri"/>
                <w:sz w:val="20"/>
                <w:szCs w:val="20"/>
              </w:rPr>
              <w:t xml:space="preserve"> поручительство</w:t>
            </w:r>
            <w:r w:rsidRPr="00BB06C4">
              <w:rPr>
                <w:sz w:val="20"/>
                <w:szCs w:val="20"/>
              </w:rPr>
              <w:t>)</w:t>
            </w:r>
            <w:r w:rsidRPr="00BB06C4">
              <w:rPr>
                <w:rFonts w:eastAsia="Calibri"/>
                <w:sz w:val="20"/>
                <w:szCs w:val="20"/>
              </w:rPr>
              <w:t xml:space="preserve">. По продуктам с участием </w:t>
            </w:r>
            <w:r w:rsidR="008C2284" w:rsidRPr="00BB06C4">
              <w:rPr>
                <w:color w:val="auto"/>
                <w:sz w:val="20"/>
                <w:szCs w:val="20"/>
              </w:rPr>
              <w:t>Региональной гарантийной организации</w:t>
            </w:r>
            <w:r w:rsidR="00162220" w:rsidRPr="00BB06C4">
              <w:rPr>
                <w:color w:val="auto"/>
                <w:sz w:val="20"/>
                <w:szCs w:val="20"/>
              </w:rPr>
              <w:t xml:space="preserve"> (РГО) </w:t>
            </w:r>
            <w:r w:rsidR="00162220" w:rsidRPr="00BB06C4">
              <w:rPr>
                <w:rFonts w:eastAsia="Calibri"/>
                <w:sz w:val="20"/>
                <w:szCs w:val="20"/>
              </w:rPr>
              <w:t>указывается</w:t>
            </w:r>
            <w:r w:rsidRPr="00BB06C4">
              <w:rPr>
                <w:rFonts w:eastAsia="Calibri"/>
                <w:sz w:val="20"/>
                <w:szCs w:val="20"/>
              </w:rPr>
              <w:t xml:space="preserve"> сумм</w:t>
            </w:r>
            <w:r w:rsidR="008C2284" w:rsidRPr="00BB06C4">
              <w:rPr>
                <w:rFonts w:eastAsia="Calibri"/>
                <w:sz w:val="20"/>
                <w:szCs w:val="20"/>
              </w:rPr>
              <w:t>а</w:t>
            </w:r>
            <w:r w:rsidRPr="00BB06C4">
              <w:rPr>
                <w:rFonts w:eastAsia="Calibr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1A10DC" w:rsidRPr="00BB06C4" w14:paraId="3D553C27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BB06C4" w:rsidRDefault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218CEDC8" w:rsidR="001A10DC" w:rsidRPr="00BB06C4" w:rsidRDefault="001A10D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</w:t>
            </w:r>
            <w:r w:rsidR="002856F4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color w:val="auto"/>
                <w:sz w:val="20"/>
                <w:szCs w:val="20"/>
              </w:rPr>
              <w:t xml:space="preserve">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BB06C4" w:rsidRDefault="001A10DC" w:rsidP="00580745">
            <w:pPr>
              <w:rPr>
                <w:color w:val="auto"/>
              </w:rPr>
            </w:pPr>
          </w:p>
        </w:tc>
      </w:tr>
      <w:tr w:rsidR="00676B6B" w:rsidRPr="00BB06C4" w14:paraId="706BCDD2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1A10DC" w:rsidRPr="00BB06C4">
              <w:rPr>
                <w:color w:val="auto"/>
                <w:sz w:val="20"/>
                <w:szCs w:val="20"/>
              </w:rPr>
              <w:t>10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302AF3B3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885DB2" w:rsidRPr="00BB06C4" w14:paraId="13410DD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BB06C4" w:rsidRDefault="00885DB2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6C74B7BE" w:rsidR="00885DB2" w:rsidRPr="00BB06C4" w:rsidRDefault="00885DB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BB06C4" w:rsidRDefault="00885DB2" w:rsidP="00580745">
            <w:pPr>
              <w:rPr>
                <w:color w:val="auto"/>
              </w:rPr>
            </w:pPr>
          </w:p>
        </w:tc>
      </w:tr>
      <w:tr w:rsidR="00676B6B" w:rsidRPr="00BB06C4" w14:paraId="21B4B989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1</w:t>
            </w:r>
            <w:r w:rsidR="001A10DC" w:rsidRPr="00BB06C4">
              <w:rPr>
                <w:color w:val="auto"/>
                <w:sz w:val="20"/>
                <w:szCs w:val="20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000C897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BB06C4" w:rsidRDefault="00FC2FA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BB06C4" w14:paraId="0CD3D78D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676B6B"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 w:rsidRPr="00BB06C4">
              <w:rPr>
                <w:color w:val="auto"/>
                <w:sz w:val="20"/>
                <w:szCs w:val="20"/>
              </w:rPr>
              <w:t xml:space="preserve"> группы, </w:t>
            </w:r>
            <w:r w:rsidR="0066510C" w:rsidRPr="00BB06C4">
              <w:rPr>
                <w:color w:val="auto"/>
                <w:sz w:val="20"/>
                <w:szCs w:val="20"/>
              </w:rPr>
              <w:lastRenderedPageBreak/>
              <w:t>участников группы с указанием ИНН/ОГРН</w:t>
            </w:r>
            <w:r w:rsidRPr="00BB06C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BB06C4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BB06C4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BB06C4" w:rsidRDefault="00EB7BCB" w:rsidP="00580745">
            <w:pPr>
              <w:rPr>
                <w:color w:val="auto"/>
              </w:rPr>
            </w:pPr>
          </w:p>
        </w:tc>
      </w:tr>
      <w:tr w:rsidR="0070445E" w:rsidRPr="00BB06C4" w14:paraId="5136E63F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BB06C4" w:rsidRDefault="0070445E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BB06C4" w:rsidRDefault="0070445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бенефициарном(</w:t>
            </w:r>
            <w:proofErr w:type="spellStart"/>
            <w:r w:rsidRPr="00BB06C4">
              <w:rPr>
                <w:color w:val="auto"/>
                <w:sz w:val="20"/>
                <w:szCs w:val="20"/>
              </w:rPr>
              <w:t>ых</w:t>
            </w:r>
            <w:proofErr w:type="spellEnd"/>
            <w:r w:rsidRPr="00BB06C4">
              <w:rPr>
                <w:color w:val="auto"/>
                <w:sz w:val="20"/>
                <w:szCs w:val="20"/>
              </w:rPr>
              <w:t>) владельце(ах)</w:t>
            </w:r>
            <w:r w:rsidR="00AB3BFB" w:rsidRPr="00BB06C4">
              <w:rPr>
                <w:rStyle w:val="a7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BB06C4">
              <w:rPr>
                <w:color w:val="auto"/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владельца) (по приложенной </w:t>
            </w:r>
            <w:r w:rsidR="00885CD7" w:rsidRPr="00BB06C4">
              <w:rPr>
                <w:color w:val="auto"/>
                <w:sz w:val="20"/>
                <w:szCs w:val="20"/>
              </w:rPr>
              <w:t>к настоящей Заявке</w:t>
            </w:r>
            <w:r w:rsidR="00BB61DC" w:rsidRPr="00BB06C4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162220" w:rsidRPr="00BB06C4">
              <w:rPr>
                <w:color w:val="auto"/>
                <w:sz w:val="20"/>
                <w:szCs w:val="20"/>
              </w:rPr>
              <w:t xml:space="preserve">форме)  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676B6B" w:rsidRPr="00BB06C4" w14:paraId="400DC760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BB06C4" w:rsidRDefault="00AF482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Основной в</w:t>
            </w:r>
            <w:r w:rsidR="00E573E6" w:rsidRPr="00BB06C4">
              <w:rPr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237013" w:rsidRPr="00BB06C4" w14:paraId="31EBEE32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BB06C4" w:rsidRDefault="00237013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BB06C4" w:rsidRDefault="00237013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BB06C4" w:rsidRDefault="00237013" w:rsidP="00580745">
            <w:pPr>
              <w:rPr>
                <w:color w:val="auto"/>
              </w:rPr>
            </w:pPr>
          </w:p>
        </w:tc>
      </w:tr>
      <w:tr w:rsidR="0070445E" w:rsidRPr="00BB06C4" w14:paraId="7F2E3E35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BB06C4" w:rsidRDefault="0070445E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BB06C4" w:rsidRDefault="0070445E" w:rsidP="00B1459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47717B" w:rsidRPr="00BB06C4" w14:paraId="2B104BCD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  <w:r w:rsidR="00094F6D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47717B" w:rsidRPr="00BB06C4" w14:paraId="5B77CAD8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7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C12A99" w:rsidRPr="00BB06C4" w14:paraId="2E265AD0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BB06C4" w:rsidRDefault="00C12A99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132E9DE9" w:rsidR="00BB5CA2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444863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  <w:p w14:paraId="291C6DD4" w14:textId="3539CD75" w:rsidR="00C12A99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BB06C4" w:rsidRDefault="00C12A99" w:rsidP="00096C23">
            <w:pPr>
              <w:rPr>
                <w:color w:val="auto"/>
              </w:rPr>
            </w:pPr>
          </w:p>
        </w:tc>
      </w:tr>
      <w:tr w:rsidR="00676B6B" w:rsidRPr="00BB06C4" w14:paraId="1B3CBC6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9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BB06C4" w:rsidRDefault="00C12A99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BD0B72" w:rsidRPr="00BB06C4" w14:paraId="47431D8B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B06C4" w:rsidRDefault="00BD0B72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094F6D" w:rsidRPr="00BB06C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B06C4" w:rsidRDefault="00BD0B72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B06C4" w:rsidRDefault="00BD0B72" w:rsidP="00BD0B72">
            <w:pPr>
              <w:rPr>
                <w:color w:val="auto"/>
              </w:rPr>
            </w:pPr>
          </w:p>
        </w:tc>
      </w:tr>
      <w:tr w:rsidR="00676B6B" w:rsidRPr="00BB06C4" w14:paraId="681C8301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BB06C4" w:rsidRDefault="00E573E6" w:rsidP="00A86454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D455636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BB06C4" w:rsidRDefault="00E573E6" w:rsidP="00676B6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Цель проекта</w:t>
            </w:r>
            <w:r w:rsidR="00A86454" w:rsidRPr="00BB06C4">
              <w:rPr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61C9D5A7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5A06448F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3D686588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BB06C4" w:rsidRDefault="00E573E6" w:rsidP="00676B6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2FB9355F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BB06C4" w:rsidRDefault="00E573E6" w:rsidP="00003980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70445E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Общая стоимость проекта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42CBFC4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BB06C4" w:rsidRDefault="00E573E6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BB06C4" w14:paraId="3019677C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BB06C4" w:rsidRDefault="00E573E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BB06C4" w14:paraId="6B7D3A2B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>5.</w:t>
            </w:r>
            <w:r w:rsidRPr="00BB06C4">
              <w:rPr>
                <w:rStyle w:val="a7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C1326BB" w:rsidR="00D873FB" w:rsidRPr="00BB06C4" w:rsidRDefault="00D873FB" w:rsidP="00D873FB">
            <w:pPr>
              <w:spacing w:before="100" w:beforeAutospacing="1" w:after="100" w:afterAutospacing="1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 xml:space="preserve">Сведения для предоставления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в рамках гарантийной поддержки без андеррайтинга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2A996867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48696036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0D1777AA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5018555C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3489E82C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172173FD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BB06C4">
              <w:rPr>
                <w:color w:val="auto"/>
                <w:sz w:val="20"/>
                <w:szCs w:val="20"/>
              </w:rPr>
              <w:t>, превышающую 50 тыс. рублей</w:t>
            </w:r>
            <w:r w:rsidRPr="00BB06C4">
              <w:rPr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RPr="00BB06C4" w14:paraId="23B323A5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BB06C4" w:rsidRDefault="006866BE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Pr="00BB06C4" w:rsidRDefault="006866BE" w:rsidP="006866B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BB06C4">
              <w:rPr>
                <w:color w:val="auto"/>
                <w:sz w:val="20"/>
                <w:szCs w:val="20"/>
              </w:rPr>
              <w:t>от 28 июня 2017 г. № 590-П</w:t>
            </w:r>
            <w:r w:rsidRPr="00BB06C4">
              <w:rPr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Pr="00BB06C4" w:rsidRDefault="006866BE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:rsidRPr="00BB06C4" w14:paraId="05644FA6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Pr="00BB06C4" w:rsidRDefault="00335337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1D666666" w:rsidR="00335337" w:rsidRPr="00BB06C4" w:rsidRDefault="00335337" w:rsidP="002856F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(заполняется в случае наличия указанного требования в условиях </w:t>
            </w:r>
            <w:r w:rsidR="002856F4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Pr="00BB06C4" w:rsidRDefault="00335337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250E6A4" w14:textId="3098CB1F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 выражает свое согласие на представление Финансовой организацией</w:t>
      </w:r>
      <w:r w:rsidRPr="00BB06C4">
        <w:rPr>
          <w:color w:val="auto"/>
          <w:sz w:val="20"/>
          <w:szCs w:val="20"/>
        </w:rPr>
        <w:tab/>
        <w:t>в АО «Корпорацию развития МСП ПК» 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АО «Корпорация МСП ПК» вопроса о предоставлении поручительства и связанной с сопровождением финансирования, обеспечиваемого предоставляемым поручительством, в том числе сведения и документы, составляющие банковскую тайну, согласие на представление АО «Корпорацией МСП ПК»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поручительства, а также согласие на обработку персональных данных Заемщика АО «Корпорация МСП ПК», экспертной организацией.</w:t>
      </w:r>
    </w:p>
    <w:p w14:paraId="04ACFBCC" w14:textId="77777777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Настоящим Заемщик выражает свое согласие _________________ на получение данных о Заемщике в бюро кредитных историй в соответствии с Федеральным законом от 30.12.2004 № 218-ФЗ «О кредитных историях» и обработку персональных данных Принципала (Заемщика),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гарантии/банковской гарантии/Поручительства. </w:t>
      </w:r>
    </w:p>
    <w:p w14:paraId="39F4DCB9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В случае получения предоставления поручительства Заемщик обязуется:</w:t>
      </w:r>
    </w:p>
    <w:p w14:paraId="6291D943" w14:textId="3E390BA9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Финансовую организацию для направления в АО «Корпорацию МСП ПК».</w:t>
      </w:r>
    </w:p>
    <w:p w14:paraId="50D26CEF" w14:textId="762247FE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б) содействовать работникам АО «Корпорации МСП ПК» при проведении ими проверочных мероприятий в отношении Заемщика, включая, но не ограничиваясь, следующим:</w:t>
      </w:r>
    </w:p>
    <w:p w14:paraId="199B0711" w14:textId="14A96511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АО «Корпорация МСП ПК»;</w:t>
      </w:r>
    </w:p>
    <w:p w14:paraId="6B6AE6D2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7F2609B6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течение двух месяцев со дня подписания.</w:t>
      </w:r>
    </w:p>
    <w:p w14:paraId="0DEB7CA4" w14:textId="41659F90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 xml:space="preserve">Заемщик (Принципал)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размещения указанных данных в </w:t>
      </w:r>
      <w:r w:rsidRPr="00BB06C4">
        <w:rPr>
          <w:rFonts w:eastAsia="Calibri"/>
          <w:color w:val="auto"/>
          <w:kern w:val="0"/>
          <w:sz w:val="20"/>
          <w:szCs w:val="20"/>
          <w:lang w:val="en-US" w:eastAsia="zh-CN"/>
        </w:rPr>
        <w:t>CRM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-системе в целях создания единой актуальной базы данных о субъектах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– получателях поддержки по заказу Министерства </w:t>
      </w:r>
      <w:r w:rsidRPr="00BB06C4">
        <w:rPr>
          <w:rFonts w:eastAsia="Calibri"/>
          <w:color w:val="000000"/>
          <w:kern w:val="0"/>
          <w:sz w:val="20"/>
          <w:szCs w:val="20"/>
          <w:lang w:eastAsia="zh-CN"/>
        </w:rPr>
        <w:t>промышленности, предпринимательства и торговли Пермского края.</w:t>
      </w:r>
    </w:p>
    <w:p w14:paraId="1E194A37" w14:textId="21B6CC6D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 xml:space="preserve">Заемщик (Принципал)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, в том числе на сбор, систематизацию, накопление, хранение, уточнение, обновление, сканирование, копирование, распространение, передачу данных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АО «Корпорация МСП», 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в том числе, посредством Системы ЭДО, путем размещения в электронном виде в автоматизированной информационной системе «Мониторинг МСП»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ПК», а также условий инвестиционного проекта/кредитного договора, обеспеченного поручительством АО «Корпорация развития МСП ПК») в целях проведения АО «Корпорация МСП» мониторинга оказания АО «Корпорация развития МСП ПК»  поддержки субъектов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. </w:t>
      </w:r>
    </w:p>
    <w:p w14:paraId="4B40E105" w14:textId="34AD9D69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sz w:val="20"/>
          <w:szCs w:val="22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="004817BB"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>Заемщик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, в том числе на 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lastRenderedPageBreak/>
        <w:t>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внесения сведений в реестр субъектов малого и среднего предпринимательства,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получивших поддержку и размещения на официальном сайте АО «Корпорация развития МСП ПК»  в сети «Интернет».</w:t>
      </w:r>
    </w:p>
    <w:p w14:paraId="0DBA8437" w14:textId="0631A21C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 подтверждает свое согласие АО «Корпорация развития МСП ПК»   на автоматизированную, а также без использования средств автоматизации обработку данных,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п. 9.3.1. Политики предоставления гарантий и поручительств АО «Корпорация развития МСП ПК») в целях внесения сведений в реестры</w:t>
      </w:r>
      <w:r w:rsidR="000C6FA3" w:rsidRPr="00BB06C4">
        <w:rPr>
          <w:sz w:val="20"/>
          <w:szCs w:val="20"/>
        </w:rPr>
        <w:t>/</w:t>
      </w:r>
      <w:r w:rsidRPr="00BB06C4">
        <w:rPr>
          <w:sz w:val="20"/>
          <w:szCs w:val="20"/>
        </w:rPr>
        <w:t>перечни субъектов малого и среднего предпринимательства, “самозанятых” граждан получивших поддержку, в соответствии с требованиями нормативных правовых актов РФ, в том числе</w:t>
      </w:r>
      <w:r w:rsidR="000C6FA3" w:rsidRPr="00BB06C4">
        <w:rPr>
          <w:sz w:val="20"/>
          <w:szCs w:val="20"/>
        </w:rPr>
        <w:t>, размещаемых в</w:t>
      </w:r>
      <w:r w:rsidRPr="00BB06C4">
        <w:rPr>
          <w:sz w:val="20"/>
          <w:szCs w:val="20"/>
        </w:rPr>
        <w:t xml:space="preserve">  сети «Интернет».</w:t>
      </w:r>
    </w:p>
    <w:p w14:paraId="56DBAE0D" w14:textId="1A74AE5E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 xml:space="preserve">Настоящим Заемщик подтверждает сове согласие на получение от АО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Корпорации развития МСП ПК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>, Некоммерческой организаци</w:t>
      </w:r>
      <w:r w:rsidR="00197F8A" w:rsidRPr="00BB06C4">
        <w:rPr>
          <w:sz w:val="20"/>
          <w:szCs w:val="20"/>
        </w:rPr>
        <w:t>ей</w:t>
      </w:r>
      <w:r w:rsidRPr="00BB06C4">
        <w:rPr>
          <w:sz w:val="20"/>
          <w:szCs w:val="20"/>
        </w:rPr>
        <w:t xml:space="preserve">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Пермский фонд развития предпринимательства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 xml:space="preserve"> информации о мерах государственной поддержки предпринимательства, осуществляемой в рамках реализации национального проекта организациями инфраструктуры поддержки предпринимательства. </w:t>
      </w:r>
    </w:p>
    <w:p w14:paraId="130549C5" w14:textId="11FC0E3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sz w:val="20"/>
          <w:szCs w:val="20"/>
        </w:rPr>
        <w:t xml:space="preserve">Настоящим </w:t>
      </w:r>
      <w:r w:rsidRPr="00BB06C4">
        <w:rPr>
          <w:color w:val="auto"/>
          <w:sz w:val="20"/>
          <w:szCs w:val="20"/>
        </w:rPr>
        <w:t xml:space="preserve">Принципал (Заемщик) </w:t>
      </w:r>
      <w:r w:rsidRPr="00BB06C4">
        <w:rPr>
          <w:color w:val="000000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2.10 адресу и </w:t>
      </w:r>
      <w:r w:rsidRPr="00BB06C4">
        <w:rPr>
          <w:sz w:val="20"/>
          <w:szCs w:val="20"/>
        </w:rPr>
        <w:t xml:space="preserve">в случае получения </w:t>
      </w:r>
      <w:r w:rsidRPr="00BB06C4">
        <w:rPr>
          <w:color w:val="auto"/>
          <w:sz w:val="20"/>
          <w:szCs w:val="20"/>
        </w:rPr>
        <w:t>независимой гарантии/банковской гарантии/Поручительства</w:t>
      </w:r>
      <w:r w:rsidRPr="00BB06C4">
        <w:rPr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BB06C4">
        <w:rPr>
          <w:color w:val="000000"/>
          <w:sz w:val="20"/>
          <w:szCs w:val="20"/>
        </w:rPr>
        <w:t xml:space="preserve"> изменения адреса уведомить о новом адресе </w:t>
      </w:r>
      <w:r w:rsidRPr="00BB06C4">
        <w:rPr>
          <w:sz w:val="20"/>
          <w:szCs w:val="20"/>
        </w:rPr>
        <w:t>участника НГС.</w:t>
      </w:r>
      <w:r w:rsidRPr="00BB06C4">
        <w:rPr>
          <w:color w:val="000000"/>
          <w:sz w:val="20"/>
          <w:szCs w:val="20"/>
        </w:rPr>
        <w:t xml:space="preserve">   </w:t>
      </w:r>
      <w:r w:rsidRPr="00BB06C4">
        <w:rPr>
          <w:sz w:val="20"/>
          <w:szCs w:val="20"/>
        </w:rPr>
        <w:t xml:space="preserve">   </w:t>
      </w:r>
    </w:p>
    <w:p w14:paraId="4CEBD2F2" w14:textId="77777777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Настоящим Принципал (Заемщик)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0E087997" w14:textId="77777777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762D4A01" w14:textId="77777777" w:rsidR="00A14894" w:rsidRPr="00BB06C4" w:rsidRDefault="00A14894" w:rsidP="00A14894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BB06C4">
        <w:rPr>
          <w:color w:val="auto"/>
          <w:sz w:val="20"/>
          <w:szCs w:val="20"/>
          <w:vertAlign w:val="superscript"/>
        </w:rPr>
        <w:footnoteReference w:id="3"/>
      </w:r>
      <w:r w:rsidRPr="00BB06C4">
        <w:rPr>
          <w:color w:val="auto"/>
          <w:sz w:val="20"/>
          <w:szCs w:val="20"/>
        </w:rPr>
        <w:t xml:space="preserve">, </w:t>
      </w:r>
      <w:r w:rsidRPr="00BB06C4">
        <w:rPr>
          <w:sz w:val="20"/>
          <w:szCs w:val="20"/>
        </w:rPr>
        <w:t>и деятельность Заемщика признана 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7EE73BAE" w14:textId="77777777" w:rsidR="00A14894" w:rsidRPr="00BB06C4" w:rsidRDefault="00A1489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2104EB2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От Заемщика (Принципала):</w:t>
      </w:r>
    </w:p>
    <w:p w14:paraId="76A7FC5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88BB93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организации – Принципала (Заемщика)</w:t>
      </w:r>
    </w:p>
    <w:p w14:paraId="0990B6C5" w14:textId="77777777" w:rsidR="0054401C" w:rsidRPr="00BB06C4" w:rsidRDefault="0054401C" w:rsidP="0054401C">
      <w:pPr>
        <w:rPr>
          <w:color w:val="auto"/>
          <w:sz w:val="20"/>
          <w:szCs w:val="20"/>
        </w:rPr>
      </w:pPr>
    </w:p>
    <w:p w14:paraId="0FC0582B" w14:textId="3108BE71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Руководитель</w:t>
      </w:r>
    </w:p>
    <w:p w14:paraId="610330BA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27137DF" w14:textId="77777777" w:rsidR="0054401C" w:rsidRPr="00BB06C4" w:rsidRDefault="0054401C" w:rsidP="0054401C">
      <w:pPr>
        <w:rPr>
          <w:b/>
          <w:bCs/>
          <w:color w:val="auto"/>
          <w:sz w:val="20"/>
          <w:szCs w:val="20"/>
        </w:rPr>
      </w:pPr>
      <w:proofErr w:type="spellStart"/>
      <w:r w:rsidRPr="00BB06C4">
        <w:rPr>
          <w:color w:val="auto"/>
          <w:sz w:val="20"/>
          <w:szCs w:val="20"/>
        </w:rPr>
        <w:t>м.п</w:t>
      </w:r>
      <w:proofErr w:type="spellEnd"/>
      <w:r w:rsidRPr="00BB06C4">
        <w:rPr>
          <w:color w:val="auto"/>
          <w:sz w:val="20"/>
          <w:szCs w:val="20"/>
        </w:rPr>
        <w:t xml:space="preserve">. </w:t>
      </w:r>
    </w:p>
    <w:p w14:paraId="31AD6A37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От Банка-партнера: </w:t>
      </w:r>
    </w:p>
    <w:p w14:paraId="64D089C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F42BAA3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2DFED828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24B74150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51582E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должность сотрудника</w:t>
      </w:r>
    </w:p>
    <w:p w14:paraId="3CB0A671" w14:textId="77777777" w:rsidR="0054401C" w:rsidRPr="00BB06C4" w:rsidRDefault="0054401C" w:rsidP="0054401C">
      <w:pPr>
        <w:rPr>
          <w:color w:val="auto"/>
          <w:sz w:val="24"/>
          <w:szCs w:val="24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24DB0738" w14:textId="77777777" w:rsidR="00A14894" w:rsidRPr="00BB06C4" w:rsidRDefault="00A1489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2EFA69A" w14:textId="77777777" w:rsidR="00A14894" w:rsidRPr="00BB06C4" w:rsidRDefault="00A1489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595AECE" w14:textId="77777777" w:rsidR="00A14894" w:rsidRPr="00BB06C4" w:rsidRDefault="00A1489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1012882E" w14:textId="11767F1D" w:rsidR="00885CD7" w:rsidRPr="00BB06C4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br w:type="page"/>
      </w:r>
    </w:p>
    <w:p w14:paraId="569BD133" w14:textId="77777777" w:rsidR="00885CD7" w:rsidRPr="00BB06C4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lastRenderedPageBreak/>
        <w:t>Приложение</w:t>
      </w:r>
      <w:r w:rsidRPr="00BB06C4">
        <w:rPr>
          <w:b/>
          <w:bCs/>
          <w:color w:val="auto"/>
          <w:sz w:val="24"/>
          <w:szCs w:val="24"/>
        </w:rPr>
        <w:t xml:space="preserve"> </w:t>
      </w:r>
    </w:p>
    <w:p w14:paraId="2CD8BA79" w14:textId="4EECEF0A" w:rsidR="00885CD7" w:rsidRPr="00BB06C4" w:rsidRDefault="00885CD7" w:rsidP="00162220">
      <w:pPr>
        <w:ind w:left="4253"/>
        <w:rPr>
          <w:bCs/>
          <w:color w:val="auto"/>
          <w:sz w:val="24"/>
          <w:szCs w:val="24"/>
        </w:rPr>
      </w:pPr>
      <w:r w:rsidRPr="00BB06C4">
        <w:rPr>
          <w:bCs/>
          <w:color w:val="auto"/>
          <w:sz w:val="24"/>
          <w:szCs w:val="24"/>
        </w:rPr>
        <w:t xml:space="preserve">к Заявке на получение </w:t>
      </w:r>
      <w:r w:rsidR="005666C1" w:rsidRPr="00BB06C4">
        <w:rPr>
          <w:bCs/>
          <w:color w:val="auto"/>
          <w:sz w:val="24"/>
          <w:szCs w:val="24"/>
        </w:rPr>
        <w:t>поручительства</w:t>
      </w:r>
      <w:r w:rsidR="003862A2" w:rsidRPr="00BB06C4">
        <w:rPr>
          <w:bCs/>
          <w:color w:val="auto"/>
          <w:sz w:val="24"/>
          <w:szCs w:val="24"/>
        </w:rPr>
        <w:t xml:space="preserve"> акционерного общества «</w:t>
      </w:r>
      <w:r w:rsidR="005666C1" w:rsidRPr="00BB06C4">
        <w:rPr>
          <w:bCs/>
          <w:color w:val="auto"/>
          <w:sz w:val="24"/>
          <w:szCs w:val="24"/>
        </w:rPr>
        <w:t>Корпорация развития малого и среднего предпринимательства Пермского края</w:t>
      </w:r>
      <w:r w:rsidR="003862A2" w:rsidRPr="00BB06C4">
        <w:rPr>
          <w:bCs/>
          <w:color w:val="auto"/>
          <w:sz w:val="24"/>
          <w:szCs w:val="24"/>
        </w:rPr>
        <w:t>»</w:t>
      </w:r>
    </w:p>
    <w:p w14:paraId="6342964C" w14:textId="71E18AB5" w:rsidR="00B03CBE" w:rsidRPr="00BB06C4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BB06C4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BB06C4">
        <w:rPr>
          <w:b/>
          <w:bCs/>
          <w:sz w:val="20"/>
        </w:rPr>
        <w:t>СВЕДЕНИЯ О БЕНЕФИЦИАРНОМ ВЛАДЕЛЬЦЕ</w:t>
      </w:r>
      <w:r w:rsidR="00AB3BFB" w:rsidRPr="00BB06C4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BB06C4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BB06C4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BB06C4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BB06C4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BB06C4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BB06C4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2.</w:t>
            </w:r>
            <w:r w:rsidRPr="00BB06C4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BB06C4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6102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BB06C4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D9C9C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BB06C4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0AF8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BB06C4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BB06C4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BB06C4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BB06C4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BB06C4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BB06C4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BB06C4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BB06C4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BB06C4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BB06C4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BB06C4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BB06C4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BB06C4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BB06C4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BB06C4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BB06C4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BB06C4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BB06C4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</w:t>
            </w:r>
            <w:r w:rsidR="00BD1AEC" w:rsidRPr="00BB06C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BB06C4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</w:t>
            </w:r>
            <w:proofErr w:type="spellStart"/>
            <w:r w:rsidRPr="00BB06C4">
              <w:rPr>
                <w:sz w:val="16"/>
                <w:szCs w:val="16"/>
              </w:rPr>
              <w:t>м.жительства</w:t>
            </w:r>
            <w:proofErr w:type="spellEnd"/>
            <w:r w:rsidRPr="00BB06C4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</w:t>
            </w:r>
            <w:proofErr w:type="spellStart"/>
            <w:r w:rsidRPr="00BB06C4">
              <w:rPr>
                <w:sz w:val="16"/>
                <w:szCs w:val="16"/>
              </w:rPr>
              <w:t>м.пребывания</w:t>
            </w:r>
            <w:proofErr w:type="spellEnd"/>
            <w:r w:rsidRPr="00BB06C4">
              <w:rPr>
                <w:sz w:val="16"/>
                <w:szCs w:val="16"/>
              </w:rPr>
              <w:t>)</w:t>
            </w:r>
          </w:p>
        </w:tc>
      </w:tr>
      <w:tr w:rsidR="00A12F7C" w:rsidRPr="00BB06C4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BB06C4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BB06C4"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BB06C4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BB06C4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BB06C4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BB06C4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Контактная информация (номер телефона,</w:t>
            </w:r>
          </w:p>
          <w:p w14:paraId="4F59336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BB06C4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BB06C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BB06C4" w:rsidRDefault="00A12F7C" w:rsidP="00A12F7C">
      <w:pPr>
        <w:rPr>
          <w:sz w:val="18"/>
          <w:szCs w:val="18"/>
        </w:rPr>
      </w:pPr>
    </w:p>
    <w:p w14:paraId="2F411619" w14:textId="7C89731C" w:rsidR="00956A80" w:rsidRPr="00BB06C4" w:rsidRDefault="00A603AE" w:rsidP="00C9315A">
      <w:pPr>
        <w:spacing w:before="100" w:beforeAutospacing="1" w:after="100" w:afterAutospacing="1"/>
        <w:ind w:firstLine="567"/>
        <w:jc w:val="both"/>
        <w:rPr>
          <w:sz w:val="18"/>
          <w:szCs w:val="18"/>
        </w:rPr>
      </w:pPr>
      <w:r w:rsidRPr="00BB06C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D2131" w:rsidRPr="00BB06C4">
        <w:rPr>
          <w:sz w:val="18"/>
          <w:szCs w:val="18"/>
        </w:rPr>
        <w:t xml:space="preserve">Настоящим Бенефициарный владелец выражает свое согласие на предоставление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</w:t>
      </w:r>
      <w:r w:rsidRPr="00BB06C4">
        <w:rPr>
          <w:sz w:val="18"/>
          <w:szCs w:val="18"/>
        </w:rPr>
        <w:t xml:space="preserve">в Банки-партнеры </w:t>
      </w:r>
      <w:r w:rsidR="008D2131" w:rsidRPr="00BB06C4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владельца</w:t>
      </w:r>
      <w:r w:rsidR="00276C2B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>, а также другой информации, включая сведения и документы, составляющие банковскую тайну, для решения вопроса о предоставлении</w:t>
      </w:r>
      <w:r w:rsidR="005D016C" w:rsidRPr="00BB06C4">
        <w:rPr>
          <w:sz w:val="18"/>
          <w:szCs w:val="18"/>
        </w:rPr>
        <w:t xml:space="preserve"> поручительства</w:t>
      </w:r>
      <w:r w:rsidR="008D2131" w:rsidRPr="00BB06C4">
        <w:rPr>
          <w:sz w:val="18"/>
          <w:szCs w:val="18"/>
        </w:rPr>
        <w:t xml:space="preserve">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. </w:t>
      </w:r>
      <w:r w:rsidR="00956A80" w:rsidRPr="00BB06C4">
        <w:rPr>
          <w:sz w:val="18"/>
          <w:szCs w:val="18"/>
        </w:rPr>
        <w:t>Бенефициарный владелец в</w:t>
      </w:r>
      <w:r w:rsidR="008D2131" w:rsidRPr="00BB06C4">
        <w:rPr>
          <w:sz w:val="18"/>
          <w:szCs w:val="18"/>
        </w:rPr>
        <w:t xml:space="preserve">ыражает свое согласие на получение </w:t>
      </w:r>
      <w:r w:rsidR="005D016C" w:rsidRPr="00BB06C4">
        <w:rPr>
          <w:sz w:val="18"/>
          <w:szCs w:val="18"/>
        </w:rPr>
        <w:t>АО «Корпорация МСП ПК»</w:t>
      </w:r>
      <w:r w:rsidR="008D2131" w:rsidRPr="00BB06C4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 w:rsidR="005D016C" w:rsidRPr="00BB06C4">
        <w:rPr>
          <w:sz w:val="18"/>
          <w:szCs w:val="18"/>
        </w:rPr>
        <w:t>поручительства АО «Корпорация МСП ПК»</w:t>
      </w:r>
      <w:r w:rsidR="008D2131" w:rsidRPr="00BB06C4">
        <w:rPr>
          <w:sz w:val="18"/>
          <w:szCs w:val="18"/>
        </w:rPr>
        <w:t>.</w:t>
      </w:r>
      <w:r w:rsidR="00956A80" w:rsidRPr="00BB06C4">
        <w:rPr>
          <w:sz w:val="18"/>
          <w:szCs w:val="18"/>
        </w:rPr>
        <w:t xml:space="preserve"> </w:t>
      </w:r>
      <w:r w:rsidR="000E438D" w:rsidRPr="00BB06C4">
        <w:rPr>
          <w:sz w:val="18"/>
          <w:szCs w:val="18"/>
        </w:rPr>
        <w:t>Согласие действует в течение</w:t>
      </w:r>
      <w:r w:rsidR="00956A80" w:rsidRPr="00BB06C4">
        <w:rPr>
          <w:sz w:val="18"/>
          <w:szCs w:val="18"/>
        </w:rPr>
        <w:t xml:space="preserve"> двух месяцев со дня подписания.</w:t>
      </w:r>
    </w:p>
    <w:p w14:paraId="4ED91BF4" w14:textId="0EB36B40" w:rsidR="00A603AE" w:rsidRPr="00BB06C4" w:rsidRDefault="00A603AE" w:rsidP="00C2314F">
      <w:pPr>
        <w:jc w:val="both"/>
        <w:rPr>
          <w:sz w:val="18"/>
          <w:szCs w:val="18"/>
        </w:rPr>
      </w:pPr>
    </w:p>
    <w:p w14:paraId="1426356B" w14:textId="18DC0212" w:rsidR="00C9315A" w:rsidRPr="00BB06C4" w:rsidRDefault="00C9315A" w:rsidP="00C2314F">
      <w:pPr>
        <w:jc w:val="both"/>
        <w:rPr>
          <w:sz w:val="18"/>
          <w:szCs w:val="18"/>
        </w:rPr>
      </w:pPr>
    </w:p>
    <w:p w14:paraId="4B4828DB" w14:textId="77777777" w:rsidR="00C9315A" w:rsidRPr="00BB06C4" w:rsidRDefault="00C9315A" w:rsidP="00C2314F">
      <w:pPr>
        <w:jc w:val="both"/>
        <w:rPr>
          <w:sz w:val="18"/>
          <w:szCs w:val="18"/>
        </w:rPr>
      </w:pPr>
    </w:p>
    <w:p w14:paraId="7A122EB0" w14:textId="77777777" w:rsidR="00A603AE" w:rsidRPr="00BB06C4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BB06C4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1BD7C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B22FF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F6B89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sz w:val="18"/>
          <w:szCs w:val="18"/>
        </w:rPr>
        <w:t xml:space="preserve">                    (дата)                                     (подпись Бенефициарного владельца)                      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  <w:bookmarkStart w:id="0" w:name="_GoBack"/>
      <w:bookmarkEnd w:id="0"/>
    </w:p>
    <w:sectPr w:rsidR="00EE7BC8" w:rsidRPr="00676B6B" w:rsidSect="00BB06C4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171C" w14:textId="77777777" w:rsidR="000740BF" w:rsidRDefault="000740BF" w:rsidP="0070445E">
      <w:r>
        <w:separator/>
      </w:r>
    </w:p>
  </w:endnote>
  <w:endnote w:type="continuationSeparator" w:id="0">
    <w:p w14:paraId="22A98FB1" w14:textId="77777777" w:rsidR="000740BF" w:rsidRDefault="000740BF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722926"/>
      <w:docPartObj>
        <w:docPartGallery w:val="Page Numbers (Bottom of Page)"/>
        <w:docPartUnique/>
      </w:docPartObj>
    </w:sdtPr>
    <w:sdtEndPr/>
    <w:sdtContent>
      <w:p w14:paraId="7DC34E97" w14:textId="60FD35D2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23155" w14:textId="77777777" w:rsidR="007F0C1A" w:rsidRDefault="007F0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428059"/>
      <w:docPartObj>
        <w:docPartGallery w:val="Page Numbers (Bottom of Page)"/>
        <w:docPartUnique/>
      </w:docPartObj>
    </w:sdtPr>
    <w:sdtEndPr/>
    <w:sdtContent>
      <w:p w14:paraId="687C90C9" w14:textId="4CEA583F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30C53" w14:textId="77777777" w:rsidR="007F0C1A" w:rsidRDefault="007F0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E343" w14:textId="77777777" w:rsidR="000740BF" w:rsidRDefault="000740BF" w:rsidP="0070445E">
      <w:r>
        <w:separator/>
      </w:r>
    </w:p>
  </w:footnote>
  <w:footnote w:type="continuationSeparator" w:id="0">
    <w:p w14:paraId="0610577E" w14:textId="77777777" w:rsidR="000740BF" w:rsidRDefault="000740BF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427CF263" w14:textId="77777777" w:rsidR="00A14894" w:rsidRPr="006E5861" w:rsidRDefault="00A14894" w:rsidP="00A14894">
      <w:pPr>
        <w:rPr>
          <w:rFonts w:ascii="Arial" w:hAnsi="Arial" w:cs="Arial"/>
          <w:sz w:val="16"/>
          <w:szCs w:val="16"/>
        </w:rPr>
      </w:pPr>
      <w:r w:rsidRPr="006E5861">
        <w:rPr>
          <w:rStyle w:val="af7"/>
          <w:sz w:val="16"/>
          <w:szCs w:val="16"/>
        </w:rPr>
        <w:footnoteRef/>
      </w:r>
      <w:r w:rsidRPr="006E5861">
        <w:rPr>
          <w:sz w:val="16"/>
          <w:szCs w:val="16"/>
        </w:rPr>
        <w:tab/>
        <w:t xml:space="preserve">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6E5861">
          <w:rPr>
            <w:rStyle w:val="af8"/>
            <w:color w:val="auto"/>
            <w:sz w:val="16"/>
            <w:szCs w:val="16"/>
          </w:rPr>
          <w:t>подакцизных</w:t>
        </w:r>
      </w:hyperlink>
      <w:r w:rsidRPr="006E5861">
        <w:rPr>
          <w:sz w:val="16"/>
          <w:szCs w:val="16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6E5861">
          <w:rPr>
            <w:rStyle w:val="af8"/>
            <w:color w:val="auto"/>
            <w:sz w:val="16"/>
            <w:szCs w:val="16"/>
          </w:rPr>
          <w:t>общераспространенных</w:t>
        </w:r>
      </w:hyperlink>
      <w:r w:rsidRPr="006E5861">
        <w:rPr>
          <w:sz w:val="16"/>
          <w:szCs w:val="16"/>
        </w:rPr>
        <w:t xml:space="preserve"> полезных ископаемых. </w:t>
      </w:r>
    </w:p>
    <w:p w14:paraId="4E6B9AB4" w14:textId="77777777" w:rsidR="00A14894" w:rsidRPr="006E5861" w:rsidRDefault="00A14894" w:rsidP="00A14894">
      <w:pPr>
        <w:pStyle w:val="11"/>
        <w:pageBreakBefore/>
        <w:rPr>
          <w:sz w:val="16"/>
          <w:szCs w:val="16"/>
        </w:rPr>
      </w:pPr>
      <w:r w:rsidRPr="006E5861">
        <w:rPr>
          <w:rFonts w:ascii="Arial" w:hAnsi="Arial" w:cs="Arial"/>
          <w:sz w:val="16"/>
          <w:szCs w:val="16"/>
        </w:rPr>
        <w:tab/>
        <w:t xml:space="preserve"> </w:t>
      </w:r>
    </w:p>
  </w:footnote>
  <w:footnote w:id="4">
    <w:p w14:paraId="5463250B" w14:textId="27A12CFD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 xml:space="preserve">Корпорация 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развития </w:t>
      </w:r>
      <w:r>
        <w:rPr>
          <w:rFonts w:ascii="Calibri" w:hAnsi="Calibri" w:cs="Calibri"/>
          <w:color w:val="auto"/>
          <w:sz w:val="16"/>
          <w:szCs w:val="16"/>
        </w:rPr>
        <w:t>МСП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 ПК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AC"/>
    <w:rsid w:val="00003980"/>
    <w:rsid w:val="00050F3F"/>
    <w:rsid w:val="000740BF"/>
    <w:rsid w:val="00084CC3"/>
    <w:rsid w:val="00093105"/>
    <w:rsid w:val="00094F6D"/>
    <w:rsid w:val="000C6FA3"/>
    <w:rsid w:val="000E438D"/>
    <w:rsid w:val="000E5F42"/>
    <w:rsid w:val="000E686A"/>
    <w:rsid w:val="001019CA"/>
    <w:rsid w:val="00162220"/>
    <w:rsid w:val="001854D4"/>
    <w:rsid w:val="00192E01"/>
    <w:rsid w:val="00196815"/>
    <w:rsid w:val="00197F8A"/>
    <w:rsid w:val="001A10DC"/>
    <w:rsid w:val="001B1777"/>
    <w:rsid w:val="001E3332"/>
    <w:rsid w:val="002060CA"/>
    <w:rsid w:val="0022544E"/>
    <w:rsid w:val="00227ED2"/>
    <w:rsid w:val="00237013"/>
    <w:rsid w:val="00240452"/>
    <w:rsid w:val="002579F0"/>
    <w:rsid w:val="00276C2B"/>
    <w:rsid w:val="002856F4"/>
    <w:rsid w:val="0029406B"/>
    <w:rsid w:val="002A2772"/>
    <w:rsid w:val="002E6E3A"/>
    <w:rsid w:val="00310E90"/>
    <w:rsid w:val="003250D0"/>
    <w:rsid w:val="00335337"/>
    <w:rsid w:val="003544F6"/>
    <w:rsid w:val="0038536E"/>
    <w:rsid w:val="003862A2"/>
    <w:rsid w:val="003A187D"/>
    <w:rsid w:val="003E2E36"/>
    <w:rsid w:val="00404A6D"/>
    <w:rsid w:val="00425D7D"/>
    <w:rsid w:val="00444863"/>
    <w:rsid w:val="00450320"/>
    <w:rsid w:val="004564CE"/>
    <w:rsid w:val="004631C1"/>
    <w:rsid w:val="00463946"/>
    <w:rsid w:val="0047717B"/>
    <w:rsid w:val="004817BB"/>
    <w:rsid w:val="004A03B5"/>
    <w:rsid w:val="004C329B"/>
    <w:rsid w:val="004E31DF"/>
    <w:rsid w:val="004E6782"/>
    <w:rsid w:val="004E6E8E"/>
    <w:rsid w:val="004F4D63"/>
    <w:rsid w:val="0052282F"/>
    <w:rsid w:val="00535521"/>
    <w:rsid w:val="005425CA"/>
    <w:rsid w:val="0054401C"/>
    <w:rsid w:val="005618D8"/>
    <w:rsid w:val="005666C1"/>
    <w:rsid w:val="005669F4"/>
    <w:rsid w:val="00572CD1"/>
    <w:rsid w:val="00587C47"/>
    <w:rsid w:val="005A21A5"/>
    <w:rsid w:val="005A41F7"/>
    <w:rsid w:val="005B4CB7"/>
    <w:rsid w:val="005B5A3C"/>
    <w:rsid w:val="005D016C"/>
    <w:rsid w:val="005E0E85"/>
    <w:rsid w:val="005E16B6"/>
    <w:rsid w:val="005F1045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A6198"/>
    <w:rsid w:val="006B76F6"/>
    <w:rsid w:val="0070445E"/>
    <w:rsid w:val="0071554A"/>
    <w:rsid w:val="007159BF"/>
    <w:rsid w:val="00745DF3"/>
    <w:rsid w:val="0074611B"/>
    <w:rsid w:val="007F0C1A"/>
    <w:rsid w:val="007F674D"/>
    <w:rsid w:val="00800248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8F796C"/>
    <w:rsid w:val="009046CB"/>
    <w:rsid w:val="00924FC5"/>
    <w:rsid w:val="00944E9E"/>
    <w:rsid w:val="009567FD"/>
    <w:rsid w:val="00956A80"/>
    <w:rsid w:val="009851AE"/>
    <w:rsid w:val="009C4764"/>
    <w:rsid w:val="009D578A"/>
    <w:rsid w:val="00A12F7C"/>
    <w:rsid w:val="00A14894"/>
    <w:rsid w:val="00A2711D"/>
    <w:rsid w:val="00A4332F"/>
    <w:rsid w:val="00A603AE"/>
    <w:rsid w:val="00A740F6"/>
    <w:rsid w:val="00A85D2B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06C4"/>
    <w:rsid w:val="00BB5CA2"/>
    <w:rsid w:val="00BB5FA5"/>
    <w:rsid w:val="00BB61DC"/>
    <w:rsid w:val="00BD0B72"/>
    <w:rsid w:val="00BD1AEC"/>
    <w:rsid w:val="00BE6B32"/>
    <w:rsid w:val="00C0018A"/>
    <w:rsid w:val="00C12457"/>
    <w:rsid w:val="00C12A99"/>
    <w:rsid w:val="00C2314F"/>
    <w:rsid w:val="00C27907"/>
    <w:rsid w:val="00C32A70"/>
    <w:rsid w:val="00C70FD7"/>
    <w:rsid w:val="00C727D2"/>
    <w:rsid w:val="00C9315A"/>
    <w:rsid w:val="00C9553C"/>
    <w:rsid w:val="00CB3103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12B21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0DC6"/>
    <w:rsid w:val="00F23485"/>
    <w:rsid w:val="00F3255B"/>
    <w:rsid w:val="00F34D2B"/>
    <w:rsid w:val="00F60642"/>
    <w:rsid w:val="00F86999"/>
    <w:rsid w:val="00F924A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F422F412-6F9B-4C7A-ABC4-22E1E7D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f7">
    <w:name w:val="Символ сноски"/>
    <w:rsid w:val="00A14894"/>
    <w:rPr>
      <w:vertAlign w:val="superscript"/>
    </w:rPr>
  </w:style>
  <w:style w:type="character" w:styleId="af8">
    <w:name w:val="Hyperlink"/>
    <w:rsid w:val="00A14894"/>
    <w:rPr>
      <w:color w:val="000080"/>
      <w:u w:val="single"/>
    </w:rPr>
  </w:style>
  <w:style w:type="paragraph" w:customStyle="1" w:styleId="11">
    <w:name w:val="Текст сноски1"/>
    <w:basedOn w:val="a"/>
    <w:rsid w:val="00A14894"/>
    <w:pPr>
      <w:tabs>
        <w:tab w:val="clear" w:pos="708"/>
      </w:tabs>
    </w:pPr>
    <w:rPr>
      <w:rFonts w:cs="Calibri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B8FA-FE6C-4F20-8684-1005762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Юлия</cp:lastModifiedBy>
  <cp:revision>23</cp:revision>
  <cp:lastPrinted>2019-02-14T11:12:00Z</cp:lastPrinted>
  <dcterms:created xsi:type="dcterms:W3CDTF">2020-03-18T07:22:00Z</dcterms:created>
  <dcterms:modified xsi:type="dcterms:W3CDTF">2020-10-21T08:41:00Z</dcterms:modified>
</cp:coreProperties>
</file>