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6A365D">
        <w:tc>
          <w:tcPr>
            <w:tcW w:w="3897" w:type="dxa"/>
          </w:tcPr>
          <w:p w14:paraId="6D2969B9" w14:textId="1EEC56AB" w:rsidR="008D3C53" w:rsidRPr="00365E79" w:rsidRDefault="00A00221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PT Sans" w:hAnsi="PT Sans" w:cs="Arial"/>
                <w:color w:val="000000"/>
                <w:spacing w:val="2"/>
              </w:rPr>
              <w:fldChar w:fldCharType="begin"/>
            </w:r>
            <w:r w:rsidR="00EA5804">
              <w:rPr>
                <w:rFonts w:ascii="PT Sans" w:hAnsi="PT Sans" w:cs="Arial"/>
                <w:color w:val="000000"/>
                <w:spacing w:val="2"/>
              </w:rPr>
              <w:instrText>HYPERLINK "http://www.consultant.ru/document/cons_doc_LAW_351535/"</w:instrText>
            </w:r>
            <w:r w:rsidR="00EA5804">
              <w:rPr>
                <w:rFonts w:ascii="PT Sans" w:hAnsi="PT Sans" w:cs="Arial"/>
                <w:color w:val="000000"/>
                <w:spacing w:val="2"/>
              </w:rPr>
            </w:r>
            <w:r>
              <w:rPr>
                <w:rFonts w:ascii="PT Sans" w:hAnsi="PT Sans" w:cs="Arial"/>
                <w:color w:val="000000"/>
                <w:spacing w:val="2"/>
              </w:rPr>
              <w:fldChar w:fldCharType="separate"/>
            </w:r>
            <w:r w:rsidR="00162248" w:rsidRPr="00A00221">
              <w:rPr>
                <w:rStyle w:val="a4"/>
                <w:rFonts w:ascii="PT Sans" w:hAnsi="PT Sans" w:cs="Arial"/>
                <w:spacing w:val="2"/>
              </w:rPr>
              <w:t xml:space="preserve"> Письмо&gt; ФНС России от 27.04.2020 N ЕД-20-8/53</w:t>
            </w:r>
            <w:proofErr w:type="gramStart"/>
            <w:r w:rsidR="00162248" w:rsidRPr="00A00221">
              <w:rPr>
                <w:rStyle w:val="a4"/>
                <w:rFonts w:ascii="PT Sans" w:hAnsi="PT Sans" w:cs="Arial"/>
                <w:spacing w:val="2"/>
              </w:rPr>
              <w:t>@ &lt;О</w:t>
            </w:r>
            <w:proofErr w:type="gramEnd"/>
            <w:r w:rsidR="00162248" w:rsidRPr="00A00221">
              <w:rPr>
                <w:rStyle w:val="a4"/>
                <w:rFonts w:ascii="PT Sans" w:hAnsi="PT Sans" w:cs="Arial"/>
                <w:spacing w:val="2"/>
              </w:rPr>
              <w:t xml:space="preserve"> продлении приостановления применения мер взыскания задолженности и соответствующих обеспечительных мер&gt;</w:t>
            </w:r>
            <w:r w:rsidR="00162248" w:rsidRPr="00A00221">
              <w:rPr>
                <w:rStyle w:val="a4"/>
                <w:rFonts w:ascii="PT Sans" w:hAnsi="PT Sans" w:cs="Arial"/>
                <w:spacing w:val="2"/>
              </w:rPr>
              <w:br/>
            </w:r>
            <w:r>
              <w:rPr>
                <w:rFonts w:ascii="PT Sans" w:hAnsi="PT Sans" w:cs="Arial"/>
                <w:color w:val="000000"/>
                <w:spacing w:val="2"/>
              </w:rPr>
              <w:fldChar w:fldCharType="end"/>
            </w:r>
            <w:r w:rsidR="00162248" w:rsidRPr="00162248">
              <w:rPr>
                <w:rFonts w:ascii="PT Sans" w:hAnsi="PT Sans" w:cs="Arial"/>
                <w:color w:val="000000"/>
                <w:spacing w:val="2"/>
              </w:rPr>
              <w:br/>
            </w:r>
          </w:p>
        </w:tc>
        <w:tc>
          <w:tcPr>
            <w:tcW w:w="10663" w:type="dxa"/>
          </w:tcPr>
          <w:p w14:paraId="2CEA0C00" w14:textId="77777777" w:rsidR="00162248" w:rsidRPr="00162248" w:rsidRDefault="00162248" w:rsidP="00162248">
            <w:pPr>
              <w:pStyle w:val="a5"/>
              <w:rPr>
                <w:rFonts w:ascii="PT Sans" w:hAnsi="PT Sans" w:cs="Arial"/>
                <w:color w:val="000000"/>
                <w:spacing w:val="2"/>
              </w:rPr>
            </w:pPr>
            <w:r w:rsidRPr="00162248">
              <w:rPr>
                <w:rFonts w:ascii="PT Sans" w:hAnsi="PT Sans" w:cs="Arial"/>
                <w:color w:val="000000"/>
                <w:spacing w:val="2"/>
              </w:rPr>
              <w:t xml:space="preserve">Применение мер взыскания задолженности и соответствующих обеспечительных мер, установленных НК РФ, приостановлено до 31.05.2020 включительно </w:t>
            </w:r>
            <w:r w:rsidRPr="00162248">
              <w:rPr>
                <w:rFonts w:ascii="PT Sans" w:hAnsi="PT Sans" w:cs="Arial"/>
                <w:color w:val="000000"/>
                <w:spacing w:val="2"/>
              </w:rPr>
              <w:br/>
            </w:r>
            <w:r w:rsidRPr="00162248">
              <w:rPr>
                <w:rFonts w:ascii="PT Sans" w:hAnsi="PT Sans" w:cs="Arial"/>
                <w:color w:val="000000"/>
                <w:spacing w:val="2"/>
              </w:rPr>
              <w:br/>
              <w:t>Соответствующее решение принято с учетом пункта 7 Постановления Правительства РФ от 02.04.2020 N 409 и действует в отношении всех налогоплательщиков - юридических лиц и индивидуальных предпринимателей.</w:t>
            </w:r>
          </w:p>
          <w:p w14:paraId="29DB1B9E" w14:textId="77777777" w:rsidR="00162248" w:rsidRPr="00162248" w:rsidRDefault="00162248" w:rsidP="00162248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62248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Исключение составляют случаи, когда непринятие мер взыскания задолженности может повлечь сокрытие активов и (или) возможность совершения иных действий, препятствующих взысканию.</w:t>
            </w:r>
          </w:p>
          <w:p w14:paraId="0DD3C882" w14:textId="644E442E" w:rsidR="008D3C53" w:rsidRPr="00162248" w:rsidRDefault="008D3C53" w:rsidP="0016224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cs="Times New Roman"/>
              </w:rPr>
            </w:pPr>
          </w:p>
        </w:tc>
      </w:tr>
      <w:tr w:rsidR="008D3C53" w:rsidRPr="006A1012" w14:paraId="46FC0D90" w14:textId="77777777" w:rsidTr="006A365D">
        <w:tc>
          <w:tcPr>
            <w:tcW w:w="3897" w:type="dxa"/>
          </w:tcPr>
          <w:p w14:paraId="6243D908" w14:textId="7B280ADB" w:rsidR="003A3E17" w:rsidRPr="00A00221" w:rsidRDefault="00A00221" w:rsidP="003A3E17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PT Sans" w:hAnsi="PT Sans" w:cs="Arial"/>
                <w:color w:val="1200D4"/>
                <w:spacing w:val="2"/>
              </w:rPr>
              <w:fldChar w:fldCharType="begin"/>
            </w:r>
            <w:r w:rsidR="00EA5804">
              <w:rPr>
                <w:rFonts w:ascii="PT Sans" w:hAnsi="PT Sans" w:cs="Arial"/>
                <w:color w:val="1200D4"/>
                <w:spacing w:val="2"/>
              </w:rPr>
              <w:instrText>HYPERLINK "https://www.nalog.ru/rn77/news/activities_fts/9751950/"</w:instrText>
            </w:r>
            <w:r w:rsidR="00EA5804">
              <w:rPr>
                <w:rFonts w:ascii="PT Sans" w:hAnsi="PT Sans" w:cs="Arial"/>
                <w:color w:val="1200D4"/>
                <w:spacing w:val="2"/>
              </w:rPr>
            </w:r>
            <w:r>
              <w:rPr>
                <w:rFonts w:ascii="PT Sans" w:hAnsi="PT Sans" w:cs="Arial"/>
                <w:color w:val="1200D4"/>
                <w:spacing w:val="2"/>
              </w:rPr>
              <w:fldChar w:fldCharType="separate"/>
            </w:r>
            <w:r w:rsidR="003A3E17" w:rsidRPr="00A00221">
              <w:rPr>
                <w:rStyle w:val="a4"/>
                <w:rFonts w:ascii="PT Sans" w:hAnsi="PT Sans" w:cs="Arial"/>
                <w:spacing w:val="2"/>
              </w:rPr>
              <w:t>&lt;Информация&gt; ФНС России от 28.04.2020 "Разобраться в правилах предоставления отсрочки (рассрочки) по налогам поможет обновленный сервис"</w:t>
            </w:r>
            <w:r w:rsidR="003A3E17" w:rsidRPr="00A00221">
              <w:rPr>
                <w:rStyle w:val="a4"/>
                <w:rFonts w:ascii="PT Sans" w:hAnsi="PT Sans" w:cs="Arial"/>
                <w:spacing w:val="2"/>
              </w:rPr>
              <w:br/>
            </w:r>
            <w:r w:rsidR="003A3E17" w:rsidRPr="00A00221">
              <w:rPr>
                <w:rStyle w:val="a4"/>
                <w:rFonts w:ascii="PT Sans" w:hAnsi="PT Sans" w:cs="Arial"/>
                <w:spacing w:val="2"/>
              </w:rPr>
              <w:br/>
            </w:r>
          </w:p>
          <w:p w14:paraId="2D48AA49" w14:textId="439155FC" w:rsidR="008D3C53" w:rsidRPr="00365E79" w:rsidRDefault="00A00221" w:rsidP="003A3E17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PT Sans" w:hAnsi="PT Sans" w:cs="Arial"/>
                <w:color w:val="1200D4"/>
                <w:spacing w:val="2"/>
              </w:rPr>
              <w:fldChar w:fldCharType="end"/>
            </w:r>
          </w:p>
        </w:tc>
        <w:tc>
          <w:tcPr>
            <w:tcW w:w="10663" w:type="dxa"/>
          </w:tcPr>
          <w:p w14:paraId="706B7A01" w14:textId="56B09C01" w:rsidR="008E6503" w:rsidRDefault="003A3E17" w:rsidP="008E65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Arial"/>
                <w:color w:val="000000"/>
                <w:spacing w:val="2"/>
              </w:rPr>
            </w:pPr>
            <w:r>
              <w:rPr>
                <w:rFonts w:ascii="PT Sans" w:hAnsi="PT Sans" w:cs="Arial"/>
                <w:color w:val="000000"/>
                <w:spacing w:val="2"/>
              </w:rPr>
              <w:t>Доработан сервис ФНС, помогающий самостоятельно определять возможность получения отсрочки или рассрочки по платежам</w:t>
            </w:r>
          </w:p>
          <w:p w14:paraId="505DB2F2" w14:textId="77777777" w:rsidR="003A3E17" w:rsidRPr="003A3E17" w:rsidRDefault="003A3E17" w:rsidP="008E65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Arial"/>
              </w:rPr>
            </w:pPr>
          </w:p>
          <w:p w14:paraId="06D7204A" w14:textId="77777777" w:rsidR="003A3E17" w:rsidRPr="003A3E17" w:rsidRDefault="003A3E17" w:rsidP="003A3E17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3A3E17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Отсрочка (рассрочка) по уплате налогов (взносов) предоставляется на основании обращения заявителя в соответствии с Постановлением Правительства РФ от 02.04.2020 N 409.</w:t>
            </w:r>
          </w:p>
          <w:p w14:paraId="05FE7860" w14:textId="77777777" w:rsidR="003A3E17" w:rsidRPr="003A3E17" w:rsidRDefault="003A3E17" w:rsidP="003A3E17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3A3E17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На странице сервиса достаточно ввести ИНН или ОГРН (ОГРИП) заинтересованного лица.</w:t>
            </w:r>
          </w:p>
          <w:p w14:paraId="0E5CA4EA" w14:textId="77777777" w:rsidR="003A3E17" w:rsidRPr="003A3E17" w:rsidRDefault="003A3E17" w:rsidP="003A3E17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3A3E17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Сервис предоставит информацию, по каким обязательным платежам возможна отсрочка (рассрочка), на какой период и в какой форме может быть изменен срок уплаты таких платежей, а также какие документы для этого потребуются.</w:t>
            </w:r>
          </w:p>
          <w:p w14:paraId="62DCAD95" w14:textId="2F04205F" w:rsidR="006D5A74" w:rsidRPr="003A3E17" w:rsidRDefault="006D5A74" w:rsidP="003A3E17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cs="Times New Roman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4EA11E62" w14:textId="5931EFF3" w:rsidR="005C791D" w:rsidRPr="00365E79" w:rsidRDefault="008616E3" w:rsidP="00A0022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8" w:history="1">
              <w:r w:rsidR="00D97D4C" w:rsidRPr="00A00221">
                <w:rPr>
                  <w:rStyle w:val="a4"/>
                  <w:rFonts w:ascii="PT Sans" w:hAnsi="PT Sans" w:cs="Arial"/>
                  <w:spacing w:val="2"/>
                </w:rPr>
                <w:t xml:space="preserve">&lt;Письмо&gt; Минтруда России от 23.04.2020 N 14-2/10/П-3710 (вместе с Рекомендациями по применению гибких форм занятости в условиях предупреждения распространения новой </w:t>
              </w:r>
              <w:proofErr w:type="spellStart"/>
              <w:r w:rsidR="00D97D4C" w:rsidRPr="00A00221">
                <w:rPr>
                  <w:rStyle w:val="a4"/>
                  <w:rFonts w:ascii="PT Sans" w:hAnsi="PT Sans" w:cs="Arial"/>
                  <w:spacing w:val="2"/>
                </w:rPr>
                <w:t>коронавирусной</w:t>
              </w:r>
              <w:proofErr w:type="spellEnd"/>
              <w:r w:rsidR="00D97D4C" w:rsidRPr="00A00221">
                <w:rPr>
                  <w:rStyle w:val="a4"/>
                  <w:rFonts w:ascii="PT Sans" w:hAnsi="PT Sans" w:cs="Arial"/>
                  <w:spacing w:val="2"/>
                </w:rPr>
                <w:t xml:space="preserve"> инфекции на территории Российской Федерации)</w:t>
              </w:r>
              <w:r w:rsidR="00D97D4C" w:rsidRPr="00A00221">
                <w:rPr>
                  <w:rStyle w:val="a4"/>
                  <w:rFonts w:ascii="PT Sans" w:hAnsi="PT Sans" w:cs="Arial"/>
                  <w:spacing w:val="2"/>
                </w:rPr>
                <w:br/>
              </w:r>
              <w:r w:rsidR="00D97D4C" w:rsidRPr="00A00221">
                <w:rPr>
                  <w:rStyle w:val="a4"/>
                  <w:rFonts w:ascii="PT Sans" w:hAnsi="PT Sans" w:cs="Arial"/>
                  <w:spacing w:val="2"/>
                </w:rPr>
                <w:br/>
              </w:r>
            </w:hyperlink>
          </w:p>
        </w:tc>
        <w:tc>
          <w:tcPr>
            <w:tcW w:w="10663" w:type="dxa"/>
          </w:tcPr>
          <w:p w14:paraId="4BD95D18" w14:textId="77777777" w:rsidR="005C791D" w:rsidRDefault="00D97D4C" w:rsidP="0016224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cs="Arial"/>
                <w:color w:val="000000"/>
                <w:spacing w:val="2"/>
              </w:rPr>
            </w:pPr>
            <w:r>
              <w:rPr>
                <w:rFonts w:ascii="PT Sans" w:hAnsi="PT Sans" w:cs="Arial"/>
                <w:color w:val="000000"/>
                <w:spacing w:val="2"/>
              </w:rPr>
              <w:t>Минтруд России рекомендует работодателям организовать применение гибких режимов работы</w:t>
            </w:r>
          </w:p>
          <w:p w14:paraId="0D67767C" w14:textId="77777777" w:rsidR="00D97D4C" w:rsidRPr="00D97D4C" w:rsidRDefault="00D97D4C" w:rsidP="00D97D4C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D97D4C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Прежде всего, это различные формы работы на дому: удаленная, дистанционная, надомная работа. С учетом необходимости соблюдения противоэпидемических требований взаимодействие работников и работодателей по организации удаленной работы может оформляться при необходимости путем обмена электронными образами документов с последующим их оформлением в установленном порядке.</w:t>
            </w:r>
          </w:p>
          <w:p w14:paraId="55392ED7" w14:textId="77777777" w:rsidR="00D97D4C" w:rsidRPr="00D97D4C" w:rsidRDefault="00D97D4C" w:rsidP="00D97D4C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D97D4C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 xml:space="preserve">Для работников, которые продолжают работать на рабочем месте, следует обеспечить </w:t>
            </w:r>
            <w:r w:rsidRPr="00D97D4C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оптимальный режим рабочего времени и времени отдыха работников.</w:t>
            </w:r>
          </w:p>
          <w:p w14:paraId="0DC6C600" w14:textId="77777777" w:rsidR="00D97D4C" w:rsidRPr="00D97D4C" w:rsidRDefault="00D97D4C" w:rsidP="00D97D4C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D97D4C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При снижении объемов работы в связи с эпидемией в целях сохранения рабочих мест целесообразно применять режим неполного рабочего времени.</w:t>
            </w:r>
          </w:p>
          <w:p w14:paraId="1DA6A3F3" w14:textId="77777777" w:rsidR="00D97D4C" w:rsidRPr="00D97D4C" w:rsidRDefault="00D97D4C" w:rsidP="00D97D4C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D97D4C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Кроме того, с учетом сложной ситуации 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 другие.</w:t>
            </w:r>
          </w:p>
          <w:p w14:paraId="0D8745AF" w14:textId="6D71D8CE" w:rsidR="00D97D4C" w:rsidRPr="00D97D4C" w:rsidRDefault="00D97D4C" w:rsidP="00D97D4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8D3C53" w:rsidRPr="006A1012" w14:paraId="0804B9E6" w14:textId="77777777" w:rsidTr="006A365D">
        <w:trPr>
          <w:trHeight w:val="1451"/>
        </w:trPr>
        <w:tc>
          <w:tcPr>
            <w:tcW w:w="3897" w:type="dxa"/>
          </w:tcPr>
          <w:p w14:paraId="38DD1B01" w14:textId="58E27FDB" w:rsidR="008D3C53" w:rsidRPr="00365E79" w:rsidRDefault="008616E3" w:rsidP="00A0022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1228AD" w:rsidRPr="00A00221">
                <w:rPr>
                  <w:rStyle w:val="a4"/>
                  <w:rFonts w:ascii="PT Sans" w:hAnsi="PT Sans" w:cs="Arial"/>
                  <w:spacing w:val="2"/>
                </w:rPr>
                <w:t>&lt;Информация&gt; ГК "АСВ" "Для заемщиков ликвидируемых финансовых организаций</w:t>
              </w:r>
              <w:r w:rsidR="001228AD" w:rsidRPr="00A00221">
                <w:rPr>
                  <w:rStyle w:val="a4"/>
                  <w:rFonts w:ascii="PT Sans" w:hAnsi="PT Sans" w:cs="Arial"/>
                  <w:spacing w:val="2"/>
                </w:rPr>
                <w:br/>
              </w:r>
              <w:r w:rsidR="001228AD" w:rsidRPr="00A00221">
                <w:rPr>
                  <w:rStyle w:val="a4"/>
                  <w:rFonts w:ascii="PT Sans" w:hAnsi="PT Sans" w:cs="Arial"/>
                  <w:spacing w:val="2"/>
                </w:rPr>
                <w:br/>
              </w:r>
            </w:hyperlink>
          </w:p>
        </w:tc>
        <w:tc>
          <w:tcPr>
            <w:tcW w:w="10663" w:type="dxa"/>
          </w:tcPr>
          <w:p w14:paraId="3B128FD6" w14:textId="77777777" w:rsidR="001228AD" w:rsidRPr="001228AD" w:rsidRDefault="001228AD" w:rsidP="001228AD">
            <w:pPr>
              <w:pStyle w:val="a5"/>
              <w:rPr>
                <w:rFonts w:ascii="PT Sans" w:hAnsi="PT Sans" w:cs="Arial"/>
                <w:color w:val="000000"/>
                <w:spacing w:val="2"/>
              </w:rPr>
            </w:pPr>
            <w:r w:rsidRPr="001228AD">
              <w:rPr>
                <w:rFonts w:ascii="PT Sans" w:hAnsi="PT Sans" w:cs="Arial"/>
                <w:color w:val="000000"/>
                <w:spacing w:val="2"/>
              </w:rPr>
              <w:t xml:space="preserve">Агентство по страхованию вкладов сообщило, кому и на каких условиях могут быть предоставлены "кредитные каникулы" в ликвидируемых банках </w:t>
            </w:r>
            <w:r w:rsidRPr="001228AD">
              <w:rPr>
                <w:rFonts w:ascii="PT Sans" w:hAnsi="PT Sans" w:cs="Arial"/>
                <w:color w:val="000000"/>
                <w:spacing w:val="2"/>
              </w:rPr>
              <w:br/>
              <w:t>Кредитные каникулы - льготный период, в течение которого заёмщик может уменьшить или приостановить выплаты кредитного обязательства на срок до 6 месяцев.</w:t>
            </w:r>
          </w:p>
          <w:p w14:paraId="5224CDDF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Кредитные каникулы могут предоставляться: физическим лицам, индивидуальным предпринимателям; микропредприятиям, а также субъектам МСП, относящимся к определенным сферам деятельности.</w:t>
            </w:r>
          </w:p>
          <w:p w14:paraId="68FAC8A3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Льготный период может составлять до 6 месяцев включительно, предоставляется однократно, может быть досрочно прекращен по заявлению заемщика, пени и штрафы во время льготного периода не начисляются.</w:t>
            </w:r>
          </w:p>
          <w:p w14:paraId="77F0133E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Кредитный договор должен соответствовать определенным требованиям, в том числе в части максимальной суммы кредита с учетом его целевого назначения (потребительский кредит, автокредит, ипотека).</w:t>
            </w:r>
          </w:p>
          <w:p w14:paraId="501F1F4B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Подробно излагаются требования к документам, необходимым для получения кредитных каникул, а также способы их направления.</w:t>
            </w:r>
          </w:p>
          <w:p w14:paraId="55005E21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Также агентством приведены ответы на вопросы заемщиков.</w:t>
            </w:r>
          </w:p>
          <w:p w14:paraId="0A2808AF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Подробная информация о возможных способах и порядке погашения задолженности по кредитным договорам (или иным обязательствам), оформленным в ликвидируемых кредитных организациях, указана на платежном портале агентства (https://www.payasv.ru).</w:t>
            </w:r>
          </w:p>
          <w:p w14:paraId="3D1FCCE8" w14:textId="5512D50F" w:rsidR="008D3C53" w:rsidRPr="00365E79" w:rsidRDefault="001228AD" w:rsidP="001228A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1228AD">
              <w:rPr>
                <w:rFonts w:ascii="PT Sans" w:hAnsi="PT Sans" w:cs="Arial"/>
                <w:color w:val="000000"/>
                <w:spacing w:val="2"/>
              </w:rPr>
              <w:lastRenderedPageBreak/>
              <w:br/>
            </w:r>
          </w:p>
        </w:tc>
      </w:tr>
      <w:tr w:rsidR="008D3C53" w:rsidRPr="006A1012" w14:paraId="1E49A015" w14:textId="77777777" w:rsidTr="006A365D">
        <w:tc>
          <w:tcPr>
            <w:tcW w:w="3897" w:type="dxa"/>
          </w:tcPr>
          <w:p w14:paraId="4908A308" w14:textId="1BA662FD" w:rsidR="001228AD" w:rsidRPr="001228AD" w:rsidRDefault="001228AD" w:rsidP="001228AD">
            <w:pPr>
              <w:spacing w:line="300" w:lineRule="atLeast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6B6341DF" w14:textId="34200438" w:rsidR="001228AD" w:rsidRPr="001228AD" w:rsidRDefault="001228AD" w:rsidP="001228AD">
            <w:pPr>
              <w:spacing w:line="300" w:lineRule="atLeast"/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A00221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begin"/>
            </w:r>
            <w:r w:rsidR="00346247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instrText>HYPERLINK "http://www.consultant.ru/document/cons_doc_LAW_351433/"</w:instrText>
            </w:r>
            <w:r w:rsidR="00346247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</w:r>
            <w:r w:rsidR="00A00221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separate"/>
            </w:r>
            <w:r w:rsidRPr="001228AD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 xml:space="preserve">&lt;Информация&gt; </w:t>
            </w:r>
            <w:proofErr w:type="spellStart"/>
            <w:r w:rsidRPr="001228AD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1228AD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 xml:space="preserve"> России от 27.04.2020 "В ГИСП запущен сервис мониторинга состояния системообразующих предприятий"</w:t>
            </w:r>
          </w:p>
          <w:p w14:paraId="66F83A30" w14:textId="1D0AA3DA" w:rsidR="008D3C53" w:rsidRPr="00365E79" w:rsidRDefault="001228AD" w:rsidP="001228AD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  <w:r w:rsidRPr="00A00221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br/>
            </w:r>
            <w:r w:rsidRPr="00A00221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br/>
            </w:r>
            <w:r w:rsidR="00A00221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663" w:type="dxa"/>
          </w:tcPr>
          <w:p w14:paraId="007ED931" w14:textId="77777777" w:rsidR="001228AD" w:rsidRPr="001228AD" w:rsidRDefault="001228AD" w:rsidP="001228AD">
            <w:pPr>
              <w:pStyle w:val="a5"/>
              <w:rPr>
                <w:rFonts w:ascii="PT Sans" w:hAnsi="PT Sans" w:cs="Arial"/>
                <w:color w:val="000000"/>
                <w:spacing w:val="2"/>
              </w:rPr>
            </w:pPr>
            <w:r w:rsidRPr="001228AD">
              <w:rPr>
                <w:rFonts w:ascii="PT Sans" w:hAnsi="PT Sans" w:cs="Arial"/>
                <w:color w:val="000000"/>
                <w:spacing w:val="2"/>
              </w:rPr>
              <w:t xml:space="preserve">На базе Государственной информационной системы промышленности (ГИСП) начал работать специальный сервис еженедельного мониторинга финансово-экономического состояния системообразующих организаций </w:t>
            </w:r>
            <w:r w:rsidRPr="001228AD">
              <w:rPr>
                <w:rFonts w:ascii="PT Sans" w:hAnsi="PT Sans" w:cs="Arial"/>
                <w:color w:val="000000"/>
                <w:spacing w:val="2"/>
              </w:rPr>
              <w:br/>
            </w:r>
            <w:r w:rsidRPr="001228AD">
              <w:rPr>
                <w:rFonts w:ascii="PT Sans" w:hAnsi="PT Sans" w:cs="Arial"/>
                <w:color w:val="000000"/>
                <w:spacing w:val="2"/>
              </w:rPr>
              <w:br/>
              <w:t>Новый цифровой сервис охватывает все системообразующие предприятия, относящиеся не только к сфере ведения Минпромторга России, но и других федеральных органов исполнительной власти.</w:t>
            </w:r>
          </w:p>
          <w:p w14:paraId="1D5ED5F0" w14:textId="77777777" w:rsidR="001228AD" w:rsidRPr="001228AD" w:rsidRDefault="001228AD" w:rsidP="001228AD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Мониторинг ведется по основным направлениям деятельности организации, включая финансово-экономическую и социальную сферу. В числе ключевых критериев оценки текущего состояния - численность занятых, платежная дисциплина, долговая нагрузка, анализ платежеспособности.</w:t>
            </w:r>
          </w:p>
          <w:p w14:paraId="576D7C62" w14:textId="0BCC6FBE" w:rsidR="008D3C53" w:rsidRPr="00E13405" w:rsidRDefault="001228AD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Для заполнения мониторинговых форм системообразующим организациям необходимо зарегистрироваться в ГИСП и перейти в сервис предоставления информации о финансово-экономическом состоянии.</w:t>
            </w:r>
            <w:r w:rsidRPr="001228AD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E13405" w:rsidRPr="006A1012" w14:paraId="0F6D4C26" w14:textId="77777777" w:rsidTr="006A365D">
        <w:tc>
          <w:tcPr>
            <w:tcW w:w="3897" w:type="dxa"/>
          </w:tcPr>
          <w:p w14:paraId="61DECCE6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  <w:p w14:paraId="3B677A6F" w14:textId="52ACE163" w:rsidR="00E13405" w:rsidRPr="00E13405" w:rsidRDefault="00A00221" w:rsidP="00E13405">
            <w:pPr>
              <w:spacing w:after="240" w:line="300" w:lineRule="atLeast"/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begin"/>
            </w:r>
            <w:r w:rsidR="00AE09E5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instrText>HYPERLINK "http://www.consultant.ru/document/cons_doc_LAW_351423/"</w:instrText>
            </w:r>
            <w:r w:rsidR="00AE09E5"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</w:r>
            <w:r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separate"/>
            </w:r>
            <w:r w:rsidR="00E13405" w:rsidRPr="00E13405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 xml:space="preserve">Постановление Правительства РФ от 24.04.2020 N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</w:t>
            </w:r>
            <w:r w:rsidR="00E13405" w:rsidRPr="00E13405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lastRenderedPageBreak/>
              <w:t xml:space="preserve">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E13405" w:rsidRPr="00E13405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E13405" w:rsidRPr="00E13405">
              <w:rPr>
                <w:rStyle w:val="a4"/>
                <w:rFonts w:ascii="PT Sans" w:eastAsia="Times New Roman" w:hAnsi="PT Sans" w:cs="Arial"/>
                <w:spacing w:val="2"/>
                <w:sz w:val="24"/>
                <w:szCs w:val="24"/>
                <w:lang w:eastAsia="ru-RU"/>
              </w:rPr>
              <w:t xml:space="preserve"> инфекции"</w:t>
            </w:r>
          </w:p>
          <w:p w14:paraId="52873650" w14:textId="26C3120E" w:rsidR="00E13405" w:rsidRPr="00E13405" w:rsidRDefault="00A00221" w:rsidP="00E13405">
            <w:pPr>
              <w:spacing w:line="300" w:lineRule="atLeast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Arial"/>
                <w:color w:val="1200D4"/>
                <w:spacing w:val="2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  <w:r w:rsidR="00E13405" w:rsidRPr="00E13405">
              <w:rPr>
                <w:rFonts w:ascii="PT Sans" w:hAnsi="PT Sans" w:cs="Arial"/>
                <w:color w:val="000000"/>
                <w:spacing w:val="2"/>
              </w:rPr>
              <w:br/>
            </w:r>
          </w:p>
        </w:tc>
        <w:tc>
          <w:tcPr>
            <w:tcW w:w="10663" w:type="dxa"/>
          </w:tcPr>
          <w:p w14:paraId="0B032ABC" w14:textId="77777777" w:rsidR="00E13405" w:rsidRDefault="00E13405" w:rsidP="00E13405">
            <w:pPr>
              <w:pStyle w:val="a5"/>
              <w:rPr>
                <w:rFonts w:asciiTheme="minorHAnsi" w:eastAsiaTheme="minorHAnsi" w:hAnsiTheme="minorHAnsi" w:cs="Arial"/>
                <w:color w:val="000000"/>
                <w:spacing w:val="2"/>
                <w:sz w:val="22"/>
                <w:szCs w:val="22"/>
                <w:lang w:eastAsia="en-US"/>
              </w:rPr>
            </w:pPr>
            <w:r w:rsidRPr="00E13405">
              <w:rPr>
                <w:rFonts w:ascii="PT Sans" w:eastAsiaTheme="minorHAnsi" w:hAnsi="PT Sans" w:cs="Arial"/>
                <w:color w:val="000000"/>
                <w:spacing w:val="2"/>
                <w:sz w:val="22"/>
                <w:szCs w:val="22"/>
                <w:lang w:eastAsia="en-US"/>
              </w:rPr>
              <w:lastRenderedPageBreak/>
              <w:t xml:space="preserve">На 2020 год определены правила предоставления субсидий субъектам МСП на осуществление деятельности, сохранение занятости и оплаты труда работникам </w:t>
            </w:r>
          </w:p>
          <w:p w14:paraId="4AEE87BD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Субсидии предоставляются субъектам МСП, включенным в единый реестр по состоянию на 1 марта 2020 г. и ведущим деятельность в наиболее пострадавших отраслях российской экономики, перечень которых утверждается Правительством РФ.</w:t>
            </w:r>
          </w:p>
          <w:p w14:paraId="3BDA4117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Получатель субсидии определяется по основному виду экономической деятельности, информация о котором содержится в ЕГРЮЛ, ЕГРИП по состоянию на 1 марта 2020 г.</w:t>
            </w:r>
          </w:p>
          <w:p w14:paraId="3EFFEA9E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Субсидии предоставляются на основании реестра для перечисления субсидий, формируемого Федеральной налоговой службой.</w:t>
            </w:r>
          </w:p>
          <w:p w14:paraId="7AD89260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Для получения субсидии необходимо направить в налоговый орган по месту нахождения организации (месту жительства ИП) заявления в электронной форме по ТКС или через личный кабинет налогоплательщика или в виде почтового отправления по форме согласно приложению.</w:t>
            </w:r>
          </w:p>
          <w:p w14:paraId="61746B0D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Также необходимо соблюдение ряда требований, в том числе:</w:t>
            </w:r>
          </w:p>
          <w:p w14:paraId="4A3BCD6E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у получателя субсидии по состоянию на 1 марта 2020 г. должна отсутствовать недоимка по налогам и страховым взносам, в совокупности превышающая 3000 рублей;</w:t>
            </w:r>
          </w:p>
          <w:p w14:paraId="7344CA87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      </w:r>
          </w:p>
          <w:p w14:paraId="311A8784" w14:textId="77777777" w:rsidR="00E13405" w:rsidRPr="00E13405" w:rsidRDefault="00E13405" w:rsidP="00E13405">
            <w:pPr>
              <w:spacing w:after="240" w:line="300" w:lineRule="atLeast"/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>Размер субсидии определяется исходя из величины МРОТ (12130 рублей) и количества работников (для ИП без работников - исходя из МРОТ)</w:t>
            </w:r>
            <w:proofErr w:type="gramStart"/>
            <w:r w:rsidRPr="00E13405">
              <w:rPr>
                <w:rFonts w:ascii="PT Sans" w:eastAsia="Times New Roman" w:hAnsi="PT Sans" w:cs="Arial"/>
                <w:color w:val="000000"/>
                <w:spacing w:val="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283B8BC2" w14:textId="26CEC85E" w:rsidR="00E13405" w:rsidRPr="00E13405" w:rsidRDefault="00E13405" w:rsidP="00E13405">
            <w:pPr>
              <w:pStyle w:val="a5"/>
              <w:rPr>
                <w:rFonts w:asciiTheme="minorHAnsi" w:eastAsiaTheme="minorHAnsi" w:hAnsiTheme="minorHAnsi" w:cs="Arial"/>
                <w:color w:val="000000"/>
                <w:spacing w:val="2"/>
                <w:sz w:val="22"/>
                <w:szCs w:val="22"/>
                <w:lang w:eastAsia="en-US"/>
              </w:rPr>
            </w:pPr>
            <w:r w:rsidRPr="00E13405">
              <w:rPr>
                <w:rFonts w:ascii="PT Sans" w:eastAsiaTheme="minorHAnsi" w:hAnsi="PT Sans" w:cs="Arial"/>
                <w:color w:val="000000"/>
                <w:spacing w:val="2"/>
                <w:sz w:val="22"/>
                <w:szCs w:val="22"/>
                <w:lang w:eastAsia="en-US"/>
              </w:rPr>
              <w:br/>
            </w: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737F" w14:textId="77777777" w:rsidR="008616E3" w:rsidRDefault="008616E3" w:rsidP="00B43FD8">
      <w:pPr>
        <w:spacing w:after="0" w:line="240" w:lineRule="auto"/>
      </w:pPr>
      <w:r>
        <w:separator/>
      </w:r>
    </w:p>
  </w:endnote>
  <w:endnote w:type="continuationSeparator" w:id="0">
    <w:p w14:paraId="1ED0DA88" w14:textId="77777777" w:rsidR="008616E3" w:rsidRDefault="008616E3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2A3BB" w14:textId="77777777" w:rsidR="008616E3" w:rsidRDefault="008616E3" w:rsidP="00B43FD8">
      <w:pPr>
        <w:spacing w:after="0" w:line="240" w:lineRule="auto"/>
      </w:pPr>
      <w:r>
        <w:separator/>
      </w:r>
    </w:p>
  </w:footnote>
  <w:footnote w:type="continuationSeparator" w:id="0">
    <w:p w14:paraId="6BB9D7D9" w14:textId="77777777" w:rsidR="008616E3" w:rsidRDefault="008616E3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65F68"/>
    <w:rsid w:val="001228AD"/>
    <w:rsid w:val="00162248"/>
    <w:rsid w:val="0017582F"/>
    <w:rsid w:val="00237D40"/>
    <w:rsid w:val="00346247"/>
    <w:rsid w:val="0035177D"/>
    <w:rsid w:val="00365E79"/>
    <w:rsid w:val="00392369"/>
    <w:rsid w:val="003A3E17"/>
    <w:rsid w:val="00410332"/>
    <w:rsid w:val="00426409"/>
    <w:rsid w:val="00442709"/>
    <w:rsid w:val="0046364E"/>
    <w:rsid w:val="00497C71"/>
    <w:rsid w:val="004D4F8A"/>
    <w:rsid w:val="00503A5F"/>
    <w:rsid w:val="00575C25"/>
    <w:rsid w:val="005C791D"/>
    <w:rsid w:val="00692198"/>
    <w:rsid w:val="006A1012"/>
    <w:rsid w:val="006A365D"/>
    <w:rsid w:val="006D5A74"/>
    <w:rsid w:val="007902AB"/>
    <w:rsid w:val="007D1CE3"/>
    <w:rsid w:val="008616E3"/>
    <w:rsid w:val="008D3C53"/>
    <w:rsid w:val="008E6503"/>
    <w:rsid w:val="00992415"/>
    <w:rsid w:val="009E7B12"/>
    <w:rsid w:val="00A00221"/>
    <w:rsid w:val="00A33A00"/>
    <w:rsid w:val="00A74B70"/>
    <w:rsid w:val="00AE09E5"/>
    <w:rsid w:val="00B43FD8"/>
    <w:rsid w:val="00C11CFE"/>
    <w:rsid w:val="00C17F5F"/>
    <w:rsid w:val="00C26BF1"/>
    <w:rsid w:val="00C3621B"/>
    <w:rsid w:val="00C74E53"/>
    <w:rsid w:val="00CE086F"/>
    <w:rsid w:val="00D74E0F"/>
    <w:rsid w:val="00D97D4C"/>
    <w:rsid w:val="00DE2961"/>
    <w:rsid w:val="00E13405"/>
    <w:rsid w:val="00E2270F"/>
    <w:rsid w:val="00E36CBC"/>
    <w:rsid w:val="00EA5804"/>
    <w:rsid w:val="00EF79AF"/>
    <w:rsid w:val="00F93121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619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13</cp:revision>
  <dcterms:created xsi:type="dcterms:W3CDTF">2020-04-16T05:59:00Z</dcterms:created>
  <dcterms:modified xsi:type="dcterms:W3CDTF">2020-04-30T12:27:00Z</dcterms:modified>
</cp:coreProperties>
</file>